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75"/>
        <w:gridCol w:w="6391"/>
        <w:gridCol w:w="5901"/>
      </w:tblGrid>
      <w:tr w:rsidR="00274570" w:rsidRPr="00274570" w14:paraId="5F7E52F4" w14:textId="77777777" w:rsidTr="00274570"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B99E5B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74570">
              <w:rPr>
                <w:rFonts w:ascii="Calibri" w:eastAsia="Times New Roman" w:hAnsi="Calibri" w:cs="Calibri"/>
                <w:b/>
                <w:bCs/>
                <w:u w:val="single"/>
              </w:rPr>
              <w:t>Thema</w:t>
            </w:r>
          </w:p>
        </w:tc>
        <w:tc>
          <w:tcPr>
            <w:tcW w:w="6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FCD6E9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  <w:b/>
                <w:bCs/>
                <w:u w:val="single"/>
              </w:rPr>
              <w:t>Forderung</w:t>
            </w:r>
          </w:p>
        </w:tc>
        <w:tc>
          <w:tcPr>
            <w:tcW w:w="59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CD77EB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  <w:b/>
                <w:bCs/>
                <w:u w:val="single"/>
              </w:rPr>
              <w:t>Erläuterung</w:t>
            </w:r>
          </w:p>
        </w:tc>
      </w:tr>
      <w:tr w:rsidR="00274570" w:rsidRPr="00274570" w14:paraId="44C0FAEF" w14:textId="77777777" w:rsidTr="00274570"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80E62F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74570">
              <w:rPr>
                <w:rFonts w:ascii="Calibri" w:eastAsia="Times New Roman" w:hAnsi="Calibri" w:cs="Calibri"/>
                <w:b/>
                <w:bCs/>
              </w:rPr>
              <w:t xml:space="preserve">Möglichkeiten, sich einvernehmliche zu trennen, ermöglichen </w:t>
            </w:r>
          </w:p>
        </w:tc>
        <w:tc>
          <w:tcPr>
            <w:tcW w:w="6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0B5C49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26E033BD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Oft sind MA und AG einig: Trennung ist das beste. </w:t>
            </w:r>
          </w:p>
          <w:p w14:paraId="022D9DA0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Es gibt kaum Instrumente und Flexibilität, eine faire Trennung zu ermöglichen, die MA auch Neustart in der Arbeitswelt ermöglicht.</w:t>
            </w:r>
          </w:p>
          <w:p w14:paraId="2B04ACF0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Möglichkeiten der Abfindungen, Freistellungen, Fortbildungen zur Neuorientierung oder dergleichen sind in den letzten Jahren fast komplett </w:t>
            </w:r>
            <w:proofErr w:type="spellStart"/>
            <w:proofErr w:type="gramStart"/>
            <w:r w:rsidRPr="00274570">
              <w:rPr>
                <w:rFonts w:ascii="Calibri" w:eastAsia="Times New Roman" w:hAnsi="Calibri" w:cs="Calibri"/>
              </w:rPr>
              <w:t>abhanden gekommen</w:t>
            </w:r>
            <w:proofErr w:type="spellEnd"/>
            <w:proofErr w:type="gramEnd"/>
            <w:r w:rsidRPr="00274570">
              <w:rPr>
                <w:rFonts w:ascii="Calibri" w:eastAsia="Times New Roman" w:hAnsi="Calibri" w:cs="Calibri"/>
              </w:rPr>
              <w:t xml:space="preserve">. </w:t>
            </w:r>
          </w:p>
          <w:p w14:paraId="6D6B344D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Dies führt oft zu tragischen </w:t>
            </w:r>
            <w:proofErr w:type="spellStart"/>
            <w:r w:rsidRPr="00274570">
              <w:rPr>
                <w:rFonts w:ascii="Calibri" w:eastAsia="Times New Roman" w:hAnsi="Calibri" w:cs="Calibri"/>
              </w:rPr>
              <w:t>loose-loose</w:t>
            </w:r>
            <w:proofErr w:type="spellEnd"/>
            <w:r w:rsidRPr="00274570">
              <w:rPr>
                <w:rFonts w:ascii="Calibri" w:eastAsia="Times New Roman" w:hAnsi="Calibri" w:cs="Calibri"/>
              </w:rPr>
              <w:t xml:space="preserve"> Situationen - auf Kosten der Gesundheit, Effektivität und Effizienz und verursacht hohe Kosten (Geld, Motivation, Lebenszeit, …) </w:t>
            </w:r>
          </w:p>
          <w:p w14:paraId="44C258E5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5E6E5114" w14:textId="77777777" w:rsid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Exit Strategien </w:t>
            </w:r>
          </w:p>
          <w:p w14:paraId="5600C444" w14:textId="77777777" w:rsidR="0049097C" w:rsidRDefault="0049097C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4CCAB31F" w14:textId="602D529D" w:rsidR="0049097C" w:rsidRPr="0049097C" w:rsidRDefault="0049097C" w:rsidP="0027457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49097C">
              <w:rPr>
                <w:rFonts w:ascii="Calibri" w:eastAsia="Times New Roman" w:hAnsi="Calibri" w:cs="Calibri"/>
                <w:color w:val="0070C0"/>
              </w:rPr>
              <w:t>Abwarten, ob FHG erfolgreich ist, dann als interne Strategie für besondere Fälle im Hinterkopf behalten.</w:t>
            </w:r>
          </w:p>
          <w:p w14:paraId="6ED92AD2" w14:textId="45C72C86" w:rsidR="00C55EF0" w:rsidRPr="00274570" w:rsidRDefault="00C55EF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9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4CAE21" w14:textId="77777777" w:rsidR="00274570" w:rsidRPr="00274570" w:rsidRDefault="00274570" w:rsidP="0027457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74570">
              <w:rPr>
                <w:rFonts w:ascii="Arial" w:eastAsia="Times New Roman" w:hAnsi="Arial" w:cs="Arial"/>
              </w:rPr>
              <w:t> </w:t>
            </w:r>
          </w:p>
        </w:tc>
      </w:tr>
      <w:tr w:rsidR="00274570" w:rsidRPr="00274570" w14:paraId="6BE22A3A" w14:textId="77777777" w:rsidTr="00274570"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677F96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74570">
              <w:rPr>
                <w:rFonts w:ascii="Calibri" w:eastAsia="Times New Roman" w:hAnsi="Calibri" w:cs="Calibri"/>
                <w:b/>
                <w:bCs/>
              </w:rPr>
              <w:t xml:space="preserve">Arbeitszeit-Regelungen </w:t>
            </w:r>
          </w:p>
        </w:tc>
        <w:tc>
          <w:tcPr>
            <w:tcW w:w="6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67263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Langzeitkonten </w:t>
            </w:r>
          </w:p>
          <w:p w14:paraId="39AF1216" w14:textId="77777777" w:rsidR="00274570" w:rsidRPr="00274570" w:rsidRDefault="00274570" w:rsidP="00274570">
            <w:pPr>
              <w:numPr>
                <w:ilvl w:val="0"/>
                <w:numId w:val="30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Umsetzung der tariflich vereinbarten Regelungen muss ermöglicht werden. </w:t>
            </w:r>
          </w:p>
          <w:p w14:paraId="0C55B2D5" w14:textId="77777777" w:rsidR="00274570" w:rsidRPr="00274570" w:rsidRDefault="00274570" w:rsidP="00274570">
            <w:pPr>
              <w:numPr>
                <w:ilvl w:val="0"/>
                <w:numId w:val="30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Politik wird aufgefordert, die Rahmenbedingungen zu schaffen. </w:t>
            </w:r>
          </w:p>
          <w:p w14:paraId="4EBA4AE1" w14:textId="3DA8B8F9" w:rsidR="00274570" w:rsidRPr="00E616D7" w:rsidRDefault="00274570" w:rsidP="00274570">
            <w:pPr>
              <w:numPr>
                <w:ilvl w:val="0"/>
                <w:numId w:val="30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AUF Arbeitgeber werden aufgefordert, Möglichkeiten zu nutzen und betriebliche Vereinbarungen abzuschließen. </w:t>
            </w:r>
          </w:p>
          <w:p w14:paraId="0CCCF76F" w14:textId="2E3D2209" w:rsidR="00E616D7" w:rsidRDefault="00E616D7" w:rsidP="00E616D7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</w:rPr>
            </w:pPr>
          </w:p>
          <w:p w14:paraId="1202A0F4" w14:textId="77777777" w:rsidR="00E616D7" w:rsidRPr="00E616D7" w:rsidRDefault="00E616D7" w:rsidP="00E616D7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0070C0"/>
              </w:rPr>
            </w:pPr>
            <w:r w:rsidRPr="00E616D7">
              <w:rPr>
                <w:rFonts w:ascii="Calibri" w:eastAsia="Times New Roman" w:hAnsi="Calibri" w:cs="Calibri"/>
                <w:color w:val="0070C0"/>
              </w:rPr>
              <w:t>Forderung an Politik:</w:t>
            </w:r>
          </w:p>
          <w:p w14:paraId="7A4F7C65" w14:textId="09E56099" w:rsidR="00E616D7" w:rsidRPr="00E616D7" w:rsidRDefault="00E616D7" w:rsidP="00E616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616D7">
              <w:rPr>
                <w:rFonts w:ascii="Calibri" w:eastAsia="Times New Roman" w:hAnsi="Calibri" w:cs="Calibri"/>
                <w:color w:val="0070C0"/>
              </w:rPr>
              <w:t>Zeitnahe Ermöglichung der Umsetzung tariflicher Langzeitkonten</w:t>
            </w:r>
          </w:p>
          <w:p w14:paraId="5BD767BD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71B39ADE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1249355B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1D909D88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9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F82A18" w14:textId="77777777" w:rsidR="00274570" w:rsidRPr="00274570" w:rsidRDefault="00274570" w:rsidP="0027457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74570">
              <w:rPr>
                <w:rFonts w:ascii="Arial" w:eastAsia="Times New Roman" w:hAnsi="Arial" w:cs="Arial"/>
              </w:rPr>
              <w:t> </w:t>
            </w:r>
          </w:p>
          <w:p w14:paraId="7E73C3B1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Darstellung, es sei "keine Rückstellungen möglich" als Argument, tarifliche Regelungen nicht umzusetzen (Langzeitkonten etc.) -&gt; es muss ein machbarer Rahmen geschaffen werden. </w:t>
            </w:r>
          </w:p>
          <w:p w14:paraId="3A27497F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103B7212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Angeblich wird das beraten in AUF mit Ministerien</w:t>
            </w:r>
            <w:proofErr w:type="gramStart"/>
            <w:r w:rsidRPr="00274570">
              <w:rPr>
                <w:rFonts w:ascii="Calibri" w:eastAsia="Times New Roman" w:hAnsi="Calibri" w:cs="Calibri"/>
              </w:rPr>
              <w:t xml:space="preserve"> ..</w:t>
            </w:r>
            <w:proofErr w:type="gramEnd"/>
            <w:r w:rsidRPr="00274570">
              <w:rPr>
                <w:rFonts w:ascii="Calibri" w:eastAsia="Times New Roman" w:hAnsi="Calibri" w:cs="Calibri"/>
              </w:rPr>
              <w:t xml:space="preserve"> </w:t>
            </w:r>
          </w:p>
          <w:p w14:paraId="5393C35A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66BA30FB" w14:textId="77777777" w:rsidR="00274570" w:rsidRPr="00274570" w:rsidRDefault="00274570" w:rsidP="00274570">
            <w:pPr>
              <w:numPr>
                <w:ilvl w:val="0"/>
                <w:numId w:val="31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70">
              <w:rPr>
                <w:rFonts w:ascii="Calibri" w:eastAsia="Times New Roman" w:hAnsi="Calibri" w:cs="Calibri"/>
              </w:rPr>
              <w:t>Konkretisieren, welche Regelungen gemeint sind</w:t>
            </w:r>
          </w:p>
          <w:p w14:paraId="0FF5EC7F" w14:textId="77777777" w:rsidR="00274570" w:rsidRPr="00274570" w:rsidRDefault="00274570" w:rsidP="00274570">
            <w:pPr>
              <w:numPr>
                <w:ilvl w:val="0"/>
                <w:numId w:val="31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Hinweis auf viele unbezahlten Überstunden </w:t>
            </w:r>
          </w:p>
          <w:p w14:paraId="687E7969" w14:textId="77777777" w:rsidR="00274570" w:rsidRPr="00274570" w:rsidRDefault="00274570" w:rsidP="00274570">
            <w:pPr>
              <w:numPr>
                <w:ilvl w:val="0"/>
                <w:numId w:val="31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Hinweis auf viele TZ-Beschäftigten, die mehr arbeiten würden </w:t>
            </w:r>
          </w:p>
          <w:p w14:paraId="5704909A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652C4D84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6FA6BE88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6AE851BA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6D94432E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</w:tc>
      </w:tr>
      <w:tr w:rsidR="00274570" w:rsidRPr="00274570" w14:paraId="1EFA1F6C" w14:textId="77777777" w:rsidTr="00274570"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7AF046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74570">
              <w:rPr>
                <w:rFonts w:ascii="Calibri" w:eastAsia="Times New Roman" w:hAnsi="Calibri" w:cs="Calibri"/>
                <w:b/>
                <w:bCs/>
              </w:rPr>
              <w:t xml:space="preserve">42-h-Woche </w:t>
            </w:r>
          </w:p>
        </w:tc>
        <w:tc>
          <w:tcPr>
            <w:tcW w:w="6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09B5A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6E349114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lastRenderedPageBreak/>
              <w:t>Anwendung der Regelung ermöglichen. Dies kann verhindern, dass sie viele Mehrarbeitsstunden anhäufen und passt zur Lebensrealität vieler Beschäftigter.</w:t>
            </w:r>
          </w:p>
          <w:p w14:paraId="41C5AA2A" w14:textId="77777777" w:rsid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Es kann auch eine Möglichkeit sein, hohe Mehrarbeitskonten abzubauen.  </w:t>
            </w:r>
          </w:p>
          <w:p w14:paraId="2F20D3CF" w14:textId="77777777" w:rsidR="00675775" w:rsidRDefault="00675775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7BE98DED" w14:textId="6A81C5ED" w:rsidR="00675775" w:rsidRPr="00335D48" w:rsidRDefault="00335D48" w:rsidP="0027457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35D48">
              <w:rPr>
                <w:rFonts w:ascii="Calibri" w:eastAsia="Times New Roman" w:hAnsi="Calibri" w:cs="Calibri"/>
                <w:color w:val="0070C0"/>
              </w:rPr>
              <w:t>Paradox gegenüber</w:t>
            </w:r>
            <w:r w:rsidR="00675775" w:rsidRPr="00335D48">
              <w:rPr>
                <w:rFonts w:ascii="Calibri" w:eastAsia="Times New Roman" w:hAnsi="Calibri" w:cs="Calibri"/>
                <w:color w:val="0070C0"/>
              </w:rPr>
              <w:t xml:space="preserve"> Politik</w:t>
            </w:r>
            <w:r w:rsidRPr="00335D48">
              <w:rPr>
                <w:rFonts w:ascii="Calibri" w:eastAsia="Times New Roman" w:hAnsi="Calibri" w:cs="Calibri"/>
                <w:color w:val="0070C0"/>
              </w:rPr>
              <w:t xml:space="preserve"> zum Ausdruck bringen</w:t>
            </w:r>
            <w:r w:rsidR="00675775" w:rsidRPr="00335D48">
              <w:rPr>
                <w:rFonts w:ascii="Calibri" w:eastAsia="Times New Roman" w:hAnsi="Calibri" w:cs="Calibri"/>
                <w:color w:val="0070C0"/>
              </w:rPr>
              <w:t xml:space="preserve">: </w:t>
            </w:r>
          </w:p>
          <w:p w14:paraId="788EE913" w14:textId="720C04C5" w:rsidR="00675775" w:rsidRDefault="00675775" w:rsidP="0027457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335D48">
              <w:rPr>
                <w:rFonts w:ascii="Calibri" w:eastAsia="Times New Roman" w:hAnsi="Calibri" w:cs="Calibri"/>
                <w:color w:val="0070C0"/>
              </w:rPr>
              <w:t>Instrument zur Stundenerhöhung wird tariflich zur Verfügung</w:t>
            </w:r>
            <w:r w:rsidR="00335D48" w:rsidRPr="00335D48">
              <w:rPr>
                <w:rFonts w:ascii="Calibri" w:eastAsia="Times New Roman" w:hAnsi="Calibri" w:cs="Calibri"/>
                <w:color w:val="0070C0"/>
              </w:rPr>
              <w:t xml:space="preserve"> gestellt</w:t>
            </w:r>
            <w:r w:rsidRPr="00335D48">
              <w:rPr>
                <w:rFonts w:ascii="Calibri" w:eastAsia="Times New Roman" w:hAnsi="Calibri" w:cs="Calibri"/>
                <w:color w:val="0070C0"/>
              </w:rPr>
              <w:t xml:space="preserve">, </w:t>
            </w:r>
            <w:proofErr w:type="gramStart"/>
            <w:r w:rsidRPr="00335D48">
              <w:rPr>
                <w:rFonts w:ascii="Calibri" w:eastAsia="Times New Roman" w:hAnsi="Calibri" w:cs="Calibri"/>
                <w:color w:val="0070C0"/>
              </w:rPr>
              <w:t>das</w:t>
            </w:r>
            <w:proofErr w:type="gramEnd"/>
            <w:r w:rsidRPr="00335D48">
              <w:rPr>
                <w:rFonts w:ascii="Calibri" w:eastAsia="Times New Roman" w:hAnsi="Calibri" w:cs="Calibri"/>
                <w:color w:val="0070C0"/>
              </w:rPr>
              <w:t xml:space="preserve"> </w:t>
            </w:r>
            <w:r w:rsidR="00335D48" w:rsidRPr="00335D48">
              <w:rPr>
                <w:rFonts w:ascii="Calibri" w:eastAsia="Times New Roman" w:hAnsi="Calibri" w:cs="Calibri"/>
                <w:color w:val="0070C0"/>
              </w:rPr>
              <w:t xml:space="preserve">die </w:t>
            </w:r>
            <w:r w:rsidRPr="00335D48">
              <w:rPr>
                <w:rFonts w:ascii="Calibri" w:eastAsia="Times New Roman" w:hAnsi="Calibri" w:cs="Calibri"/>
                <w:color w:val="0070C0"/>
              </w:rPr>
              <w:t>Forderungen aus Politik und Wirtschaft nach Mehrarbeit erfüllt</w:t>
            </w:r>
            <w:r w:rsidR="00335D48" w:rsidRPr="00335D48">
              <w:rPr>
                <w:rFonts w:ascii="Calibri" w:eastAsia="Times New Roman" w:hAnsi="Calibri" w:cs="Calibri"/>
                <w:color w:val="0070C0"/>
              </w:rPr>
              <w:t>, aber</w:t>
            </w:r>
            <w:r w:rsidRPr="00335D48">
              <w:rPr>
                <w:rFonts w:ascii="Calibri" w:eastAsia="Times New Roman" w:hAnsi="Calibri" w:cs="Calibri"/>
                <w:color w:val="0070C0"/>
              </w:rPr>
              <w:t xml:space="preserve"> Mitarbeitende, die das Instrument ganz im Sinne der Wirtschaft nutzen wollen, werden ausgebremst. Ebenso die Arbeitergeber, denen entsprechende Gelder nicht zur Verfügung gestellt werden.</w:t>
            </w:r>
          </w:p>
          <w:p w14:paraId="521FEFE1" w14:textId="095D6A70" w:rsidR="00E616D7" w:rsidRDefault="00E616D7" w:rsidP="0027457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>
              <w:rPr>
                <w:rFonts w:ascii="Calibri" w:eastAsia="Times New Roman" w:hAnsi="Calibri" w:cs="Calibri"/>
                <w:color w:val="0070C0"/>
              </w:rPr>
              <w:t>Wenn Politik Mehrarbeit will, muss sie sie auch finanzieren!</w:t>
            </w:r>
          </w:p>
          <w:p w14:paraId="5FC903EE" w14:textId="77777777" w:rsidR="00E616D7" w:rsidRDefault="00E616D7" w:rsidP="0027457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  <w:p w14:paraId="6FCE560E" w14:textId="09FEA71B" w:rsidR="00E616D7" w:rsidRDefault="00E616D7" w:rsidP="0027457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  <w:r>
              <w:rPr>
                <w:rFonts w:ascii="Calibri" w:eastAsia="Times New Roman" w:hAnsi="Calibri" w:cs="Calibri"/>
                <w:color w:val="0070C0"/>
              </w:rPr>
              <w:t>Erhöhung der Arbeitszeit nur bei Fachkräftemangel legitim.</w:t>
            </w:r>
          </w:p>
          <w:p w14:paraId="47714F87" w14:textId="77777777" w:rsidR="00335D48" w:rsidRDefault="00335D48" w:rsidP="00274570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  <w:p w14:paraId="71AE8DBF" w14:textId="7764D353" w:rsidR="00335D48" w:rsidRPr="00274570" w:rsidRDefault="00335D48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70C0"/>
              </w:rPr>
              <w:t xml:space="preserve">Evtl. Aufruf an Arbeitgeber, keine pauschale Ablehnung auszusprechen, sondern in Einzelfallentscheidung befristet ermöglichen. Darf nicht nur nach Kriterien der Arbeitgeber entschieden werden. Gemeinsame Kriterien </w:t>
            </w:r>
            <w:r w:rsidR="00E616D7">
              <w:rPr>
                <w:rFonts w:ascii="Calibri" w:eastAsia="Times New Roman" w:hAnsi="Calibri" w:cs="Calibri"/>
                <w:color w:val="0070C0"/>
              </w:rPr>
              <w:t>von BR und AG auf Institutsebene.</w:t>
            </w:r>
            <w:r>
              <w:rPr>
                <w:rFonts w:ascii="Calibri" w:eastAsia="Times New Roman" w:hAnsi="Calibri" w:cs="Calibri"/>
                <w:color w:val="0070C0"/>
              </w:rPr>
              <w:t xml:space="preserve"> </w:t>
            </w:r>
          </w:p>
        </w:tc>
        <w:tc>
          <w:tcPr>
            <w:tcW w:w="59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80BE5D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lastRenderedPageBreak/>
              <w:t> </w:t>
            </w:r>
          </w:p>
          <w:p w14:paraId="7613D7DD" w14:textId="77777777" w:rsidR="00274570" w:rsidRPr="00274570" w:rsidRDefault="00274570" w:rsidP="00274570">
            <w:pPr>
              <w:numPr>
                <w:ilvl w:val="0"/>
                <w:numId w:val="32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70">
              <w:rPr>
                <w:rFonts w:ascii="Calibri" w:eastAsia="Times New Roman" w:hAnsi="Calibri" w:cs="Calibri"/>
              </w:rPr>
              <w:lastRenderedPageBreak/>
              <w:t>Viele MA wollen das.</w:t>
            </w:r>
          </w:p>
          <w:p w14:paraId="724D3091" w14:textId="77777777" w:rsidR="00274570" w:rsidRPr="00274570" w:rsidRDefault="00274570" w:rsidP="00274570">
            <w:pPr>
              <w:numPr>
                <w:ilvl w:val="0"/>
                <w:numId w:val="32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viele leisten ohnehin mehr </w:t>
            </w:r>
            <w:proofErr w:type="spellStart"/>
            <w:r w:rsidRPr="00274570">
              <w:rPr>
                <w:rFonts w:ascii="Calibri" w:eastAsia="Times New Roman" w:hAnsi="Calibri" w:cs="Calibri"/>
              </w:rPr>
              <w:t>Arnbeit</w:t>
            </w:r>
            <w:proofErr w:type="spellEnd"/>
            <w:r w:rsidRPr="00274570">
              <w:rPr>
                <w:rFonts w:ascii="Calibri" w:eastAsia="Times New Roman" w:hAnsi="Calibri" w:cs="Calibri"/>
              </w:rPr>
              <w:t xml:space="preserve"> - z.T. nicht dokumentiert oder es läuft auf Mehrarbeitskonten auf. </w:t>
            </w:r>
          </w:p>
          <w:p w14:paraId="164D317A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2A6FC01B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1C299AC9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Was soll eine tarifliche Einigung nutzen, die den politischen und wirtschaftlichen Forderungen nach mehr Arbeit entspricht, und </w:t>
            </w:r>
            <w:proofErr w:type="gramStart"/>
            <w:r w:rsidRPr="00274570">
              <w:rPr>
                <w:rFonts w:ascii="Calibri" w:eastAsia="Times New Roman" w:hAnsi="Calibri" w:cs="Calibri"/>
              </w:rPr>
              <w:t>die selben</w:t>
            </w:r>
            <w:proofErr w:type="gramEnd"/>
            <w:r w:rsidRPr="00274570">
              <w:rPr>
                <w:rFonts w:ascii="Calibri" w:eastAsia="Times New Roman" w:hAnsi="Calibri" w:cs="Calibri"/>
              </w:rPr>
              <w:t xml:space="preserve"> Akteure (oder wer?) verhindern die Anwendung. </w:t>
            </w:r>
          </w:p>
          <w:p w14:paraId="0323D5BC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10CB3011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These: </w:t>
            </w:r>
          </w:p>
          <w:p w14:paraId="5DFFBA71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Gleichzeitig befürwortet die AGBR die Begrenzung der Arbeitszeit auf die aktuell tariflich festlegten Stundenzahl (TVöD: 39h/Wo, Länder: xx - xx h/Woche). Eine Erhöhung der wöchentlichen Arbeitszeit halten wir für den falschen Weg.</w:t>
            </w:r>
          </w:p>
          <w:p w14:paraId="36A06FB9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43EACA8C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So lange diese Möglichkeit aber besteht (doppelt freiwillige 42h/Woche) sollte die im Interesse der MA auch genutzt werden.)</w:t>
            </w:r>
          </w:p>
          <w:p w14:paraId="21693B7F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> </w:t>
            </w:r>
          </w:p>
          <w:p w14:paraId="5D1C3A6C" w14:textId="77777777" w:rsidR="00274570" w:rsidRPr="00274570" w:rsidRDefault="00274570" w:rsidP="002745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4570">
              <w:rPr>
                <w:rFonts w:ascii="Calibri" w:eastAsia="Times New Roman" w:hAnsi="Calibri" w:cs="Calibri"/>
              </w:rPr>
              <w:t xml:space="preserve">--&gt; </w:t>
            </w:r>
            <w:r w:rsidRPr="00335D48">
              <w:rPr>
                <w:rFonts w:ascii="Calibri" w:eastAsia="Times New Roman" w:hAnsi="Calibri" w:cs="Calibri"/>
                <w:color w:val="0070C0"/>
              </w:rPr>
              <w:t xml:space="preserve">Vergütung und Personal </w:t>
            </w:r>
          </w:p>
        </w:tc>
      </w:tr>
    </w:tbl>
    <w:p w14:paraId="3D117762" w14:textId="77777777" w:rsidR="00274570" w:rsidRDefault="00274570"/>
    <w:sectPr w:rsidR="00274570" w:rsidSect="00274570">
      <w:headerReference w:type="default" r:id="rId7"/>
      <w:footerReference w:type="default" r:id="rId8"/>
      <w:pgSz w:w="16838" w:h="11906" w:orient="landscape"/>
      <w:pgMar w:top="1135" w:right="1417" w:bottom="851" w:left="1134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6343" w14:textId="77777777" w:rsidR="00274570" w:rsidRDefault="00274570" w:rsidP="00274570">
      <w:pPr>
        <w:spacing w:after="0" w:line="240" w:lineRule="auto"/>
      </w:pPr>
      <w:r>
        <w:separator/>
      </w:r>
    </w:p>
  </w:endnote>
  <w:endnote w:type="continuationSeparator" w:id="0">
    <w:p w14:paraId="0737AB43" w14:textId="77777777" w:rsidR="00274570" w:rsidRDefault="00274570" w:rsidP="0027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5F9B" w14:textId="4EB57CE5" w:rsidR="00274570" w:rsidRDefault="00274570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2EDD" w14:textId="77777777" w:rsidR="00274570" w:rsidRDefault="00274570" w:rsidP="00274570">
      <w:pPr>
        <w:spacing w:after="0" w:line="240" w:lineRule="auto"/>
      </w:pPr>
      <w:r>
        <w:separator/>
      </w:r>
    </w:p>
  </w:footnote>
  <w:footnote w:type="continuationSeparator" w:id="0">
    <w:p w14:paraId="7AF2E9ED" w14:textId="77777777" w:rsidR="00274570" w:rsidRDefault="00274570" w:rsidP="0027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3E84" w14:textId="6613873A" w:rsidR="00274570" w:rsidRDefault="00274570">
    <w:pPr>
      <w:pStyle w:val="Kopfzeile"/>
    </w:pPr>
    <w:r>
      <w:t>Ideen AGBR Forderungen – 17.02.2026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B14"/>
    <w:multiLevelType w:val="multilevel"/>
    <w:tmpl w:val="F9E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C36B5"/>
    <w:multiLevelType w:val="multilevel"/>
    <w:tmpl w:val="DD6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55F09"/>
    <w:multiLevelType w:val="multilevel"/>
    <w:tmpl w:val="573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17DEF"/>
    <w:multiLevelType w:val="multilevel"/>
    <w:tmpl w:val="0B48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A55705"/>
    <w:multiLevelType w:val="multilevel"/>
    <w:tmpl w:val="64E6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4213D"/>
    <w:multiLevelType w:val="multilevel"/>
    <w:tmpl w:val="C35C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8406DF"/>
    <w:multiLevelType w:val="multilevel"/>
    <w:tmpl w:val="976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404777"/>
    <w:multiLevelType w:val="multilevel"/>
    <w:tmpl w:val="DF10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0B227D"/>
    <w:multiLevelType w:val="multilevel"/>
    <w:tmpl w:val="AE6E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22F18"/>
    <w:multiLevelType w:val="multilevel"/>
    <w:tmpl w:val="EEB0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2602D"/>
    <w:multiLevelType w:val="multilevel"/>
    <w:tmpl w:val="EEE2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96210"/>
    <w:multiLevelType w:val="multilevel"/>
    <w:tmpl w:val="7EB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2F64E7"/>
    <w:multiLevelType w:val="multilevel"/>
    <w:tmpl w:val="8D42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5E5CCD"/>
    <w:multiLevelType w:val="multilevel"/>
    <w:tmpl w:val="E5B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06D52"/>
    <w:multiLevelType w:val="multilevel"/>
    <w:tmpl w:val="674C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9B4E9B"/>
    <w:multiLevelType w:val="multilevel"/>
    <w:tmpl w:val="B824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7A4DE3"/>
    <w:multiLevelType w:val="multilevel"/>
    <w:tmpl w:val="97B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544AE2"/>
    <w:multiLevelType w:val="multilevel"/>
    <w:tmpl w:val="E81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7E07F4"/>
    <w:multiLevelType w:val="multilevel"/>
    <w:tmpl w:val="8FE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B1387D"/>
    <w:multiLevelType w:val="multilevel"/>
    <w:tmpl w:val="8FB8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6A25BA"/>
    <w:multiLevelType w:val="multilevel"/>
    <w:tmpl w:val="F89E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DB1EC5"/>
    <w:multiLevelType w:val="multilevel"/>
    <w:tmpl w:val="5916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0F0151"/>
    <w:multiLevelType w:val="multilevel"/>
    <w:tmpl w:val="5B3C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C80210"/>
    <w:multiLevelType w:val="multilevel"/>
    <w:tmpl w:val="9112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451E54"/>
    <w:multiLevelType w:val="multilevel"/>
    <w:tmpl w:val="8CE2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B71E48"/>
    <w:multiLevelType w:val="multilevel"/>
    <w:tmpl w:val="D69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0C497B"/>
    <w:multiLevelType w:val="multilevel"/>
    <w:tmpl w:val="8842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913690"/>
    <w:multiLevelType w:val="multilevel"/>
    <w:tmpl w:val="D92C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E9798E"/>
    <w:multiLevelType w:val="multilevel"/>
    <w:tmpl w:val="038A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01A03"/>
    <w:multiLevelType w:val="multilevel"/>
    <w:tmpl w:val="4936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C1703"/>
    <w:multiLevelType w:val="multilevel"/>
    <w:tmpl w:val="E8E8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41536E"/>
    <w:multiLevelType w:val="multilevel"/>
    <w:tmpl w:val="AF06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B85ACB"/>
    <w:multiLevelType w:val="multilevel"/>
    <w:tmpl w:val="CB5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CC29C5"/>
    <w:multiLevelType w:val="multilevel"/>
    <w:tmpl w:val="634C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046A49"/>
    <w:multiLevelType w:val="multilevel"/>
    <w:tmpl w:val="8F7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4002C9"/>
    <w:multiLevelType w:val="multilevel"/>
    <w:tmpl w:val="0A4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A51ED3"/>
    <w:multiLevelType w:val="multilevel"/>
    <w:tmpl w:val="9C32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20F2A"/>
    <w:multiLevelType w:val="multilevel"/>
    <w:tmpl w:val="D920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5B7446"/>
    <w:multiLevelType w:val="multilevel"/>
    <w:tmpl w:val="E55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E2284B"/>
    <w:multiLevelType w:val="multilevel"/>
    <w:tmpl w:val="F3F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992FE8"/>
    <w:multiLevelType w:val="multilevel"/>
    <w:tmpl w:val="38DA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0B47CE"/>
    <w:multiLevelType w:val="multilevel"/>
    <w:tmpl w:val="BFC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24"/>
  </w:num>
  <w:num w:numId="3">
    <w:abstractNumId w:val="8"/>
  </w:num>
  <w:num w:numId="4">
    <w:abstractNumId w:val="25"/>
  </w:num>
  <w:num w:numId="5">
    <w:abstractNumId w:val="32"/>
  </w:num>
  <w:num w:numId="6">
    <w:abstractNumId w:val="7"/>
  </w:num>
  <w:num w:numId="7">
    <w:abstractNumId w:val="14"/>
  </w:num>
  <w:num w:numId="8">
    <w:abstractNumId w:val="33"/>
  </w:num>
  <w:num w:numId="9">
    <w:abstractNumId w:val="9"/>
    <w:lvlOverride w:ilvl="0">
      <w:startOverride w:val="1"/>
    </w:lvlOverride>
  </w:num>
  <w:num w:numId="10">
    <w:abstractNumId w:val="28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21"/>
    <w:lvlOverride w:ilvl="0">
      <w:startOverride w:val="4"/>
    </w:lvlOverride>
  </w:num>
  <w:num w:numId="13">
    <w:abstractNumId w:val="13"/>
  </w:num>
  <w:num w:numId="14">
    <w:abstractNumId w:val="27"/>
  </w:num>
  <w:num w:numId="15">
    <w:abstractNumId w:val="5"/>
  </w:num>
  <w:num w:numId="16">
    <w:abstractNumId w:val="17"/>
  </w:num>
  <w:num w:numId="17">
    <w:abstractNumId w:val="41"/>
  </w:num>
  <w:num w:numId="18">
    <w:abstractNumId w:val="20"/>
  </w:num>
  <w:num w:numId="19">
    <w:abstractNumId w:val="1"/>
  </w:num>
  <w:num w:numId="20">
    <w:abstractNumId w:val="15"/>
  </w:num>
  <w:num w:numId="21">
    <w:abstractNumId w:val="6"/>
  </w:num>
  <w:num w:numId="22">
    <w:abstractNumId w:val="3"/>
  </w:num>
  <w:num w:numId="23">
    <w:abstractNumId w:val="39"/>
  </w:num>
  <w:num w:numId="24">
    <w:abstractNumId w:val="31"/>
  </w:num>
  <w:num w:numId="25">
    <w:abstractNumId w:val="11"/>
  </w:num>
  <w:num w:numId="26">
    <w:abstractNumId w:val="19"/>
  </w:num>
  <w:num w:numId="27">
    <w:abstractNumId w:val="38"/>
  </w:num>
  <w:num w:numId="28">
    <w:abstractNumId w:val="35"/>
  </w:num>
  <w:num w:numId="29">
    <w:abstractNumId w:val="36"/>
  </w:num>
  <w:num w:numId="30">
    <w:abstractNumId w:val="0"/>
  </w:num>
  <w:num w:numId="31">
    <w:abstractNumId w:val="37"/>
  </w:num>
  <w:num w:numId="32">
    <w:abstractNumId w:val="12"/>
  </w:num>
  <w:num w:numId="33">
    <w:abstractNumId w:val="16"/>
  </w:num>
  <w:num w:numId="34">
    <w:abstractNumId w:val="30"/>
  </w:num>
  <w:num w:numId="35">
    <w:abstractNumId w:val="4"/>
  </w:num>
  <w:num w:numId="36">
    <w:abstractNumId w:val="2"/>
  </w:num>
  <w:num w:numId="37">
    <w:abstractNumId w:val="23"/>
  </w:num>
  <w:num w:numId="38">
    <w:abstractNumId w:val="22"/>
  </w:num>
  <w:num w:numId="39">
    <w:abstractNumId w:val="18"/>
  </w:num>
  <w:num w:numId="40">
    <w:abstractNumId w:val="34"/>
  </w:num>
  <w:num w:numId="41">
    <w:abstractNumId w:val="2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70"/>
    <w:rsid w:val="00274570"/>
    <w:rsid w:val="00335D48"/>
    <w:rsid w:val="0049097C"/>
    <w:rsid w:val="00675775"/>
    <w:rsid w:val="00BE1800"/>
    <w:rsid w:val="00C55EF0"/>
    <w:rsid w:val="00E616D7"/>
    <w:rsid w:val="00E7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794692"/>
  <w15:chartTrackingRefBased/>
  <w15:docId w15:val="{B1BFE873-B030-4227-B9D3-439752B8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7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274570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74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570"/>
  </w:style>
  <w:style w:type="paragraph" w:styleId="Fuzeile">
    <w:name w:val="footer"/>
    <w:basedOn w:val="Standard"/>
    <w:link w:val="FuzeileZchn"/>
    <w:uiPriority w:val="99"/>
    <w:unhideWhenUsed/>
    <w:rsid w:val="00274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570"/>
  </w:style>
  <w:style w:type="character" w:styleId="Zeilennummer">
    <w:name w:val="line number"/>
    <w:basedOn w:val="Absatz-Standardschriftart"/>
    <w:uiPriority w:val="99"/>
    <w:semiHidden/>
    <w:unhideWhenUsed/>
    <w:rsid w:val="0027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Regler, Jan</dc:creator>
  <cp:keywords/>
  <dc:description/>
  <cp:lastModifiedBy>Regler, Jan</cp:lastModifiedBy>
  <cp:revision>2</cp:revision>
  <dcterms:created xsi:type="dcterms:W3CDTF">2026-02-20T17:04:00Z</dcterms:created>
  <dcterms:modified xsi:type="dcterms:W3CDTF">2026-02-20T17:04:00Z</dcterms:modified>
</cp:coreProperties>
</file>