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454B" w14:textId="77777777" w:rsidR="00EA0F50" w:rsidRPr="00EA0F50" w:rsidRDefault="00EA0F50" w:rsidP="00EA0F50">
      <w:pPr>
        <w:rPr>
          <w:rFonts w:ascii="Calibri" w:hAnsi="Calibri" w:cs="Calibri"/>
          <w:b/>
          <w:bCs/>
          <w:sz w:val="22"/>
          <w:szCs w:val="22"/>
        </w:rPr>
      </w:pPr>
      <w:r w:rsidRPr="00EA0F50">
        <w:rPr>
          <w:rFonts w:ascii="Calibri" w:hAnsi="Calibri" w:cs="Calibri"/>
          <w:b/>
          <w:bCs/>
          <w:sz w:val="22"/>
          <w:szCs w:val="22"/>
        </w:rPr>
        <w:t>Tarifbindung der öffentlich finanzierten außeruniversitären Forschungsorganisationen</w:t>
      </w:r>
    </w:p>
    <w:p w14:paraId="32B64A48" w14:textId="77777777" w:rsidR="00EA0F50" w:rsidRPr="00EA0F50" w:rsidRDefault="00EA0F50" w:rsidP="00EA0F50">
      <w:pPr>
        <w:rPr>
          <w:rFonts w:ascii="Calibri" w:hAnsi="Calibri" w:cs="Calibri"/>
          <w:sz w:val="22"/>
          <w:szCs w:val="22"/>
        </w:rPr>
      </w:pPr>
      <w:r w:rsidRPr="00EA0F50">
        <w:rPr>
          <w:rFonts w:ascii="Calibri" w:hAnsi="Calibri" w:cs="Calibri"/>
          <w:sz w:val="22"/>
          <w:szCs w:val="22"/>
        </w:rPr>
        <w:t xml:space="preserve">Folgende Forschungseinrichtungen sind tarifgebunden: </w:t>
      </w:r>
    </w:p>
    <w:p w14:paraId="164C8C38" w14:textId="77777777" w:rsidR="00EA0F50" w:rsidRPr="00EA0F50" w:rsidRDefault="00EA0F50" w:rsidP="00EA0F50">
      <w:pPr>
        <w:numPr>
          <w:ilvl w:val="0"/>
          <w:numId w:val="1"/>
        </w:numPr>
        <w:rPr>
          <w:rFonts w:ascii="Calibri" w:hAnsi="Calibri" w:cs="Calibri"/>
          <w:sz w:val="22"/>
          <w:szCs w:val="22"/>
        </w:rPr>
      </w:pPr>
      <w:r w:rsidRPr="00EA0F50">
        <w:rPr>
          <w:rFonts w:ascii="Calibri" w:hAnsi="Calibri" w:cs="Calibri"/>
          <w:sz w:val="22"/>
          <w:szCs w:val="22"/>
        </w:rPr>
        <w:t xml:space="preserve">Das FZJ (Forschungszentrum Jülich) und das DLR (Deutsches Zentrum für Luft- und Raumfahrttechnik) haben Anwendungstarifverträge mit ver.di abgeschlossen, die sie an den TVöD Bund binden. </w:t>
      </w:r>
    </w:p>
    <w:p w14:paraId="11ABEE94" w14:textId="77777777" w:rsidR="00EA0F50" w:rsidRPr="00EA0F50" w:rsidRDefault="00EA0F50" w:rsidP="00EA0F50">
      <w:pPr>
        <w:numPr>
          <w:ilvl w:val="0"/>
          <w:numId w:val="1"/>
        </w:numPr>
        <w:rPr>
          <w:rFonts w:ascii="Calibri" w:hAnsi="Calibri" w:cs="Calibri"/>
          <w:sz w:val="22"/>
          <w:szCs w:val="22"/>
        </w:rPr>
      </w:pPr>
      <w:r w:rsidRPr="00EA0F50">
        <w:rPr>
          <w:rFonts w:ascii="Calibri" w:hAnsi="Calibri" w:cs="Calibri"/>
          <w:sz w:val="22"/>
          <w:szCs w:val="22"/>
        </w:rPr>
        <w:t xml:space="preserve">DESY (Deutsches </w:t>
      </w:r>
      <w:proofErr w:type="spellStart"/>
      <w:r w:rsidRPr="00EA0F50">
        <w:rPr>
          <w:rFonts w:ascii="Calibri" w:hAnsi="Calibri" w:cs="Calibri"/>
          <w:sz w:val="22"/>
          <w:szCs w:val="22"/>
        </w:rPr>
        <w:t>Elektronensynchroton</w:t>
      </w:r>
      <w:proofErr w:type="spellEnd"/>
      <w:r w:rsidRPr="00EA0F50">
        <w:rPr>
          <w:rFonts w:ascii="Calibri" w:hAnsi="Calibri" w:cs="Calibri"/>
          <w:sz w:val="22"/>
          <w:szCs w:val="22"/>
        </w:rPr>
        <w:t xml:space="preserve">, Hamburg) und </w:t>
      </w:r>
      <w:proofErr w:type="spellStart"/>
      <w:r w:rsidRPr="00EA0F50">
        <w:rPr>
          <w:rFonts w:ascii="Calibri" w:hAnsi="Calibri" w:cs="Calibri"/>
          <w:sz w:val="22"/>
          <w:szCs w:val="22"/>
        </w:rPr>
        <w:t>Hereon</w:t>
      </w:r>
      <w:proofErr w:type="spellEnd"/>
      <w:r w:rsidRPr="00EA0F50">
        <w:rPr>
          <w:rFonts w:ascii="Calibri" w:hAnsi="Calibri" w:cs="Calibri"/>
          <w:sz w:val="22"/>
          <w:szCs w:val="22"/>
        </w:rPr>
        <w:t xml:space="preserve"> (Geesthacht) sind Mitglieder im Arbeitgeberverband „Arbeitsrechtliche Vereinigung Hamburg“ (Mitglied der Vereinigung der kommunalen Arbeitgeberverbände) und damit an den TVöD VKA / AVH gebunden. </w:t>
      </w:r>
    </w:p>
    <w:p w14:paraId="0BEC5A04" w14:textId="77777777" w:rsidR="00EA0F50" w:rsidRPr="00EA0F50" w:rsidRDefault="00EA0F50" w:rsidP="00EA0F50">
      <w:pPr>
        <w:numPr>
          <w:ilvl w:val="0"/>
          <w:numId w:val="1"/>
        </w:numPr>
        <w:rPr>
          <w:rFonts w:ascii="Calibri" w:hAnsi="Calibri" w:cs="Calibri"/>
          <w:sz w:val="22"/>
          <w:szCs w:val="22"/>
        </w:rPr>
      </w:pPr>
      <w:r w:rsidRPr="00EA0F50">
        <w:rPr>
          <w:rFonts w:ascii="Calibri" w:hAnsi="Calibri" w:cs="Calibri"/>
          <w:sz w:val="22"/>
          <w:szCs w:val="22"/>
        </w:rPr>
        <w:t xml:space="preserve">Das KIT (Karlsruher Institut für Technologie) ist seit seiner Fusion mit der Universität Karlsruhe Mitglied im Arbeitgeberverband des öffentlichen Dienstes des Landes Baden-Württemberg (Mitglied der Tarifgemeinschaft der Länder) und damit an den TV-L gebunden. </w:t>
      </w:r>
    </w:p>
    <w:p w14:paraId="6C3D2081" w14:textId="77777777" w:rsidR="00EA0F50" w:rsidRPr="00EA0F50" w:rsidRDefault="00EA0F50" w:rsidP="00EA0F50">
      <w:pPr>
        <w:rPr>
          <w:rFonts w:ascii="Calibri" w:hAnsi="Calibri" w:cs="Calibri"/>
          <w:sz w:val="22"/>
          <w:szCs w:val="22"/>
        </w:rPr>
      </w:pPr>
      <w:r w:rsidRPr="00EA0F50">
        <w:rPr>
          <w:rFonts w:ascii="Calibri" w:hAnsi="Calibri" w:cs="Calibri"/>
          <w:sz w:val="22"/>
          <w:szCs w:val="22"/>
        </w:rPr>
        <w:t xml:space="preserve">Andere Forschungseinrichtungen wenden in der Regel die Standards den TVöD Bund oder des TV-L durch einzelvertragliche Bezugnahme an, sind aber nicht tarifgebunden, können also im Einzelfall auch abweichen – und tun dies insbesondere bei Verträgen mit Promovierenden leider auch häufig, typischerweise indem sie sogenannte Förderverträge abschließen, die von den Beschäftigten Vollzeittätigkeit verlangen, aber nur 50, 65 oder 75 Prozent der tariflichen Vergütung als Lohn vorsehen. Dies gilt für </w:t>
      </w:r>
    </w:p>
    <w:p w14:paraId="0014F751" w14:textId="77777777" w:rsidR="00EA0F50" w:rsidRPr="00EA0F50" w:rsidRDefault="00EA0F50" w:rsidP="00EA0F50">
      <w:pPr>
        <w:numPr>
          <w:ilvl w:val="0"/>
          <w:numId w:val="2"/>
        </w:numPr>
        <w:rPr>
          <w:rFonts w:ascii="Calibri" w:hAnsi="Calibri" w:cs="Calibri"/>
          <w:sz w:val="22"/>
          <w:szCs w:val="22"/>
        </w:rPr>
      </w:pPr>
      <w:r w:rsidRPr="00EA0F50">
        <w:rPr>
          <w:rFonts w:ascii="Calibri" w:hAnsi="Calibri" w:cs="Calibri"/>
          <w:sz w:val="22"/>
          <w:szCs w:val="22"/>
        </w:rPr>
        <w:t xml:space="preserve">die Helmholtz-Zentren AWI, MDC, CISPA, HZB, UFZ, HZDR, GSI und HZI (diese Zentren wenden, soweit uns bekannt, allerdings überwiegend bis durchgehend den TVöD Bund an), </w:t>
      </w:r>
    </w:p>
    <w:p w14:paraId="3F609B0B" w14:textId="77777777" w:rsidR="00EA0F50" w:rsidRPr="00EA0F50" w:rsidRDefault="00EA0F50" w:rsidP="00EA0F50">
      <w:pPr>
        <w:numPr>
          <w:ilvl w:val="0"/>
          <w:numId w:val="2"/>
        </w:numPr>
        <w:rPr>
          <w:rFonts w:ascii="Calibri" w:hAnsi="Calibri" w:cs="Calibri"/>
          <w:sz w:val="22"/>
          <w:szCs w:val="22"/>
        </w:rPr>
      </w:pPr>
      <w:r w:rsidRPr="00EA0F50">
        <w:rPr>
          <w:rFonts w:ascii="Calibri" w:hAnsi="Calibri" w:cs="Calibri"/>
          <w:sz w:val="22"/>
          <w:szCs w:val="22"/>
        </w:rPr>
        <w:t xml:space="preserve">die Helmholtz-Zentren HMGU, DZNE, HZI und DKFZ (diese Zentren schließen, soweit uns bekannt, Verträge mit Promovierenden mehr oder weniger durchgehend außertariflich mit untertariflicher Bezahlung ab), </w:t>
      </w:r>
    </w:p>
    <w:p w14:paraId="7828CCCF" w14:textId="77777777" w:rsidR="00EA0F50" w:rsidRPr="00EA0F50" w:rsidRDefault="00EA0F50" w:rsidP="00EA0F50">
      <w:pPr>
        <w:numPr>
          <w:ilvl w:val="0"/>
          <w:numId w:val="2"/>
        </w:numPr>
        <w:rPr>
          <w:rFonts w:ascii="Calibri" w:hAnsi="Calibri" w:cs="Calibri"/>
          <w:sz w:val="22"/>
          <w:szCs w:val="22"/>
        </w:rPr>
      </w:pPr>
      <w:r w:rsidRPr="00EA0F50">
        <w:rPr>
          <w:rFonts w:ascii="Calibri" w:hAnsi="Calibri" w:cs="Calibri"/>
          <w:sz w:val="22"/>
          <w:szCs w:val="22"/>
        </w:rPr>
        <w:t xml:space="preserve">die 84 Institute der Max-Planck-Gesellschaft (schließen teils auch für Promovierende Verträge </w:t>
      </w:r>
      <w:proofErr w:type="gramStart"/>
      <w:r w:rsidRPr="00EA0F50">
        <w:rPr>
          <w:rFonts w:ascii="Calibri" w:hAnsi="Calibri" w:cs="Calibri"/>
          <w:sz w:val="22"/>
          <w:szCs w:val="22"/>
        </w:rPr>
        <w:t>gemäß der Standards</w:t>
      </w:r>
      <w:proofErr w:type="gramEnd"/>
      <w:r w:rsidRPr="00EA0F50">
        <w:rPr>
          <w:rFonts w:ascii="Calibri" w:hAnsi="Calibri" w:cs="Calibri"/>
          <w:sz w:val="22"/>
          <w:szCs w:val="22"/>
        </w:rPr>
        <w:t xml:space="preserve"> des TVöD Bund ab, teils nicht), </w:t>
      </w:r>
    </w:p>
    <w:p w14:paraId="50462A8B" w14:textId="77777777" w:rsidR="00EA0F50" w:rsidRPr="00EA0F50" w:rsidRDefault="00EA0F50" w:rsidP="00EA0F50">
      <w:pPr>
        <w:numPr>
          <w:ilvl w:val="0"/>
          <w:numId w:val="2"/>
        </w:numPr>
        <w:rPr>
          <w:rFonts w:ascii="Calibri" w:hAnsi="Calibri" w:cs="Calibri"/>
          <w:sz w:val="22"/>
          <w:szCs w:val="22"/>
        </w:rPr>
      </w:pPr>
      <w:r w:rsidRPr="00EA0F50">
        <w:rPr>
          <w:rFonts w:ascii="Calibri" w:hAnsi="Calibri" w:cs="Calibri"/>
          <w:sz w:val="22"/>
          <w:szCs w:val="22"/>
        </w:rPr>
        <w:t xml:space="preserve">die 76 Institute der Fraunhofer-Gesellschaft (schließen teils auch für Promovierende Verträge </w:t>
      </w:r>
      <w:proofErr w:type="gramStart"/>
      <w:r w:rsidRPr="00EA0F50">
        <w:rPr>
          <w:rFonts w:ascii="Calibri" w:hAnsi="Calibri" w:cs="Calibri"/>
          <w:sz w:val="22"/>
          <w:szCs w:val="22"/>
        </w:rPr>
        <w:t>gemäß der Standards</w:t>
      </w:r>
      <w:proofErr w:type="gramEnd"/>
      <w:r w:rsidRPr="00EA0F50">
        <w:rPr>
          <w:rFonts w:ascii="Calibri" w:hAnsi="Calibri" w:cs="Calibri"/>
          <w:sz w:val="22"/>
          <w:szCs w:val="22"/>
        </w:rPr>
        <w:t xml:space="preserve"> des TVöD Bund ab, teils nicht) und </w:t>
      </w:r>
    </w:p>
    <w:p w14:paraId="1FF82847" w14:textId="42C5679B" w:rsidR="00EA0F50" w:rsidRPr="00EA0F50" w:rsidRDefault="00EA0F50" w:rsidP="00EA0F50">
      <w:pPr>
        <w:numPr>
          <w:ilvl w:val="0"/>
          <w:numId w:val="2"/>
        </w:numPr>
        <w:rPr>
          <w:rFonts w:ascii="Calibri" w:hAnsi="Calibri" w:cs="Calibri"/>
          <w:sz w:val="22"/>
          <w:szCs w:val="22"/>
        </w:rPr>
      </w:pPr>
      <w:r w:rsidRPr="00EA0F50">
        <w:rPr>
          <w:rFonts w:ascii="Calibri" w:hAnsi="Calibri" w:cs="Calibri"/>
          <w:sz w:val="22"/>
          <w:szCs w:val="22"/>
        </w:rPr>
        <w:t xml:space="preserve">die 97 Einrichtungen der Leibniz-Gemeinschaft (schließen teils auch für Promovierende Verträge </w:t>
      </w:r>
      <w:proofErr w:type="gramStart"/>
      <w:r w:rsidRPr="00EA0F50">
        <w:rPr>
          <w:rFonts w:ascii="Calibri" w:hAnsi="Calibri" w:cs="Calibri"/>
          <w:sz w:val="22"/>
          <w:szCs w:val="22"/>
        </w:rPr>
        <w:t>gemäß der Standards</w:t>
      </w:r>
      <w:proofErr w:type="gramEnd"/>
      <w:r w:rsidRPr="00EA0F50">
        <w:rPr>
          <w:rFonts w:ascii="Calibri" w:hAnsi="Calibri" w:cs="Calibri"/>
          <w:sz w:val="22"/>
          <w:szCs w:val="22"/>
        </w:rPr>
        <w:t xml:space="preserve"> des TVöD Bund oder des TV-L ab, teils nicht). </w:t>
      </w:r>
    </w:p>
    <w:p w14:paraId="0E2DFD3E" w14:textId="77777777" w:rsidR="00EA0F50" w:rsidRPr="00EA0F50" w:rsidRDefault="00EA0F50" w:rsidP="00EA0F50">
      <w:pPr>
        <w:rPr>
          <w:rFonts w:ascii="Calibri" w:hAnsi="Calibri" w:cs="Calibri"/>
          <w:sz w:val="22"/>
          <w:szCs w:val="22"/>
        </w:rPr>
      </w:pPr>
      <w:r w:rsidRPr="00EA0F50">
        <w:rPr>
          <w:rFonts w:ascii="Calibri" w:hAnsi="Calibri" w:cs="Calibri"/>
          <w:sz w:val="22"/>
          <w:szCs w:val="22"/>
        </w:rPr>
        <w:t xml:space="preserve">Eine Tarifbindung aller Einrichtungen der öffentlich finanzierten Forschungsgemeinschaften Helmholtz, Max Planck, Fraunhofer und Leibniz würde zusätzlich gut 100.000 Beschäftigte in die Tarifbindung bringen und tarifliche Arbeitsbedingungen damit verlässlich absichern sowie einklagbar machen. Aufgrund der bereits weitgehend etablierten Tarifanwendung wäre dies mit überschaubaren Kosten verbunden. </w:t>
      </w:r>
    </w:p>
    <w:p w14:paraId="08F0B1F6" w14:textId="77777777" w:rsidR="00C47A56" w:rsidRPr="00EA0F50" w:rsidRDefault="00C47A56">
      <w:pPr>
        <w:rPr>
          <w:rFonts w:ascii="Calibri" w:hAnsi="Calibri" w:cs="Calibri"/>
          <w:sz w:val="22"/>
          <w:szCs w:val="22"/>
        </w:rPr>
      </w:pPr>
    </w:p>
    <w:sectPr w:rsidR="00C47A56" w:rsidRPr="00EA0F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2229F"/>
    <w:multiLevelType w:val="hybridMultilevel"/>
    <w:tmpl w:val="C10454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7B7920E6"/>
    <w:multiLevelType w:val="hybridMultilevel"/>
    <w:tmpl w:val="AA5897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54630632">
    <w:abstractNumId w:val="0"/>
    <w:lvlOverride w:ilvl="0"/>
    <w:lvlOverride w:ilvl="1"/>
    <w:lvlOverride w:ilvl="2"/>
    <w:lvlOverride w:ilvl="3"/>
    <w:lvlOverride w:ilvl="4"/>
    <w:lvlOverride w:ilvl="5"/>
    <w:lvlOverride w:ilvl="6"/>
    <w:lvlOverride w:ilvl="7"/>
    <w:lvlOverride w:ilvl="8"/>
  </w:num>
  <w:num w:numId="2" w16cid:durableId="82145959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50"/>
    <w:rsid w:val="008C7DA5"/>
    <w:rsid w:val="00C47A56"/>
    <w:rsid w:val="00D24668"/>
    <w:rsid w:val="00EA0F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0047"/>
  <w15:chartTrackingRefBased/>
  <w15:docId w15:val="{6497E8CD-5DBF-4981-B0E3-717E4107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A0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A0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A0F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A0F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A0F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A0F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A0F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A0F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A0F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0F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A0F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A0F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A0F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A0F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A0F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A0F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A0F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A0F50"/>
    <w:rPr>
      <w:rFonts w:eastAsiaTheme="majorEastAsia" w:cstheme="majorBidi"/>
      <w:color w:val="272727" w:themeColor="text1" w:themeTint="D8"/>
    </w:rPr>
  </w:style>
  <w:style w:type="paragraph" w:styleId="Titel">
    <w:name w:val="Title"/>
    <w:basedOn w:val="Standard"/>
    <w:next w:val="Standard"/>
    <w:link w:val="TitelZchn"/>
    <w:uiPriority w:val="10"/>
    <w:qFormat/>
    <w:rsid w:val="00EA0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0F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A0F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A0F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A0F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A0F50"/>
    <w:rPr>
      <w:i/>
      <w:iCs/>
      <w:color w:val="404040" w:themeColor="text1" w:themeTint="BF"/>
    </w:rPr>
  </w:style>
  <w:style w:type="paragraph" w:styleId="Listenabsatz">
    <w:name w:val="List Paragraph"/>
    <w:basedOn w:val="Standard"/>
    <w:uiPriority w:val="34"/>
    <w:qFormat/>
    <w:rsid w:val="00EA0F50"/>
    <w:pPr>
      <w:ind w:left="720"/>
      <w:contextualSpacing/>
    </w:pPr>
  </w:style>
  <w:style w:type="character" w:styleId="IntensiveHervorhebung">
    <w:name w:val="Intense Emphasis"/>
    <w:basedOn w:val="Absatz-Standardschriftart"/>
    <w:uiPriority w:val="21"/>
    <w:qFormat/>
    <w:rsid w:val="00EA0F50"/>
    <w:rPr>
      <w:i/>
      <w:iCs/>
      <w:color w:val="0F4761" w:themeColor="accent1" w:themeShade="BF"/>
    </w:rPr>
  </w:style>
  <w:style w:type="paragraph" w:styleId="IntensivesZitat">
    <w:name w:val="Intense Quote"/>
    <w:basedOn w:val="Standard"/>
    <w:next w:val="Standard"/>
    <w:link w:val="IntensivesZitatZchn"/>
    <w:uiPriority w:val="30"/>
    <w:qFormat/>
    <w:rsid w:val="00EA0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A0F50"/>
    <w:rPr>
      <w:i/>
      <w:iCs/>
      <w:color w:val="0F4761" w:themeColor="accent1" w:themeShade="BF"/>
    </w:rPr>
  </w:style>
  <w:style w:type="character" w:styleId="IntensiverVerweis">
    <w:name w:val="Intense Reference"/>
    <w:basedOn w:val="Absatz-Standardschriftart"/>
    <w:uiPriority w:val="32"/>
    <w:qFormat/>
    <w:rsid w:val="00EA0F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651207">
      <w:bodyDiv w:val="1"/>
      <w:marLeft w:val="0"/>
      <w:marRight w:val="0"/>
      <w:marTop w:val="0"/>
      <w:marBottom w:val="0"/>
      <w:divBdr>
        <w:top w:val="none" w:sz="0" w:space="0" w:color="auto"/>
        <w:left w:val="none" w:sz="0" w:space="0" w:color="auto"/>
        <w:bottom w:val="none" w:sz="0" w:space="0" w:color="auto"/>
        <w:right w:val="none" w:sz="0" w:space="0" w:color="auto"/>
      </w:divBdr>
    </w:div>
    <w:div w:id="16272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2221</Characters>
  <Application>Microsoft Office Word</Application>
  <DocSecurity>0</DocSecurity>
  <Lines>18</Lines>
  <Paragraphs>5</Paragraphs>
  <ScaleCrop>false</ScaleCrop>
  <Company>Vereinte Dienstleistungsgewerkschaft ver.di</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Staack, Sonja</dc:creator>
  <cp:keywords/>
  <dc:description/>
  <cp:lastModifiedBy>Staack, Sonja</cp:lastModifiedBy>
  <cp:revision>1</cp:revision>
  <dcterms:created xsi:type="dcterms:W3CDTF">2026-02-03T12:00:00Z</dcterms:created>
  <dcterms:modified xsi:type="dcterms:W3CDTF">2026-02-03T12:01:00Z</dcterms:modified>
</cp:coreProperties>
</file>