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F2" w:rsidRPr="00B0221B" w:rsidRDefault="00F436F2" w:rsidP="003A5718">
      <w:pPr>
        <w:tabs>
          <w:tab w:val="left" w:pos="1350"/>
        </w:tabs>
        <w:rPr>
          <w:rFonts w:asciiTheme="majorHAnsi" w:hAnsiTheme="majorHAnsi" w:cstheme="majorHAnsi"/>
          <w:b/>
          <w:sz w:val="32"/>
          <w:szCs w:val="32"/>
          <w:lang w:val="en-US"/>
        </w:rPr>
      </w:pPr>
      <w:r w:rsidRPr="00B0221B">
        <w:rPr>
          <w:rFonts w:asciiTheme="majorHAnsi" w:hAnsiTheme="majorHAnsi" w:cstheme="majorHAnsi"/>
          <w:b/>
          <w:sz w:val="32"/>
          <w:szCs w:val="32"/>
          <w:lang w:val="en-US"/>
        </w:rPr>
        <w:t xml:space="preserve">Draft report of the </w:t>
      </w:r>
      <w:r w:rsidR="00F16EE0" w:rsidRPr="00B0221B">
        <w:rPr>
          <w:rFonts w:asciiTheme="majorHAnsi" w:hAnsiTheme="majorHAnsi" w:cstheme="majorHAnsi"/>
          <w:b/>
          <w:sz w:val="32"/>
          <w:szCs w:val="32"/>
          <w:lang w:val="en-US"/>
        </w:rPr>
        <w:t xml:space="preserve">CBM Dipole </w:t>
      </w:r>
      <w:r w:rsidR="0006034D">
        <w:rPr>
          <w:rFonts w:asciiTheme="majorHAnsi" w:hAnsiTheme="majorHAnsi" w:cstheme="majorHAnsi"/>
          <w:b/>
          <w:sz w:val="32"/>
          <w:szCs w:val="32"/>
          <w:lang w:val="en-US"/>
        </w:rPr>
        <w:t xml:space="preserve">Conceptual Design </w:t>
      </w:r>
      <w:r w:rsidRPr="00B0221B">
        <w:rPr>
          <w:rFonts w:asciiTheme="majorHAnsi" w:hAnsiTheme="majorHAnsi" w:cstheme="majorHAnsi"/>
          <w:b/>
          <w:sz w:val="32"/>
          <w:szCs w:val="32"/>
          <w:lang w:val="en-US"/>
        </w:rPr>
        <w:t xml:space="preserve">Review </w:t>
      </w:r>
    </w:p>
    <w:p w:rsidR="00F436F2" w:rsidRPr="00B0221B" w:rsidRDefault="00F436F2" w:rsidP="003A5718">
      <w:pPr>
        <w:tabs>
          <w:tab w:val="left" w:pos="1350"/>
        </w:tabs>
        <w:rPr>
          <w:rFonts w:asciiTheme="majorHAnsi" w:hAnsiTheme="majorHAnsi" w:cstheme="majorHAnsi"/>
          <w:b/>
          <w:sz w:val="32"/>
          <w:szCs w:val="32"/>
          <w:lang w:val="en-US"/>
        </w:rPr>
      </w:pPr>
      <w:proofErr w:type="gramStart"/>
      <w:r w:rsidRPr="00B0221B">
        <w:rPr>
          <w:rFonts w:asciiTheme="majorHAnsi" w:hAnsiTheme="majorHAnsi" w:cstheme="majorHAnsi"/>
          <w:b/>
          <w:sz w:val="32"/>
          <w:szCs w:val="32"/>
          <w:lang w:val="en-US"/>
        </w:rPr>
        <w:t>at</w:t>
      </w:r>
      <w:proofErr w:type="gramEnd"/>
      <w:r w:rsidRPr="00B0221B">
        <w:rPr>
          <w:rFonts w:asciiTheme="majorHAnsi" w:hAnsiTheme="majorHAnsi" w:cstheme="majorHAnsi"/>
          <w:b/>
          <w:sz w:val="32"/>
          <w:szCs w:val="32"/>
          <w:lang w:val="en-US"/>
        </w:rPr>
        <w:t xml:space="preserve"> Darmstadt May 22-24 2017</w:t>
      </w:r>
    </w:p>
    <w:p w:rsidR="00F436F2" w:rsidRPr="00B0221B" w:rsidRDefault="00F436F2" w:rsidP="003A5718">
      <w:pPr>
        <w:tabs>
          <w:tab w:val="left" w:pos="1350"/>
        </w:tabs>
        <w:rPr>
          <w:rFonts w:asciiTheme="majorHAnsi" w:hAnsiTheme="majorHAnsi" w:cstheme="majorHAnsi"/>
          <w:b/>
          <w:sz w:val="32"/>
          <w:szCs w:val="32"/>
          <w:lang w:val="en-US"/>
        </w:rPr>
      </w:pPr>
    </w:p>
    <w:p w:rsidR="00466955" w:rsidRPr="00B0221B" w:rsidRDefault="00466955" w:rsidP="003A5718">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Findings</w:t>
      </w:r>
    </w:p>
    <w:p w:rsidR="00466955" w:rsidRPr="00B0221B" w:rsidRDefault="00466955" w:rsidP="00466955">
      <w:pPr>
        <w:tabs>
          <w:tab w:val="left" w:pos="1350"/>
        </w:tabs>
        <w:ind w:left="360"/>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The committee appreciates the quality of the presentations given during the meeting. However, the committee noted </w:t>
      </w:r>
      <w:r w:rsidR="00974A1D" w:rsidRPr="00B0221B">
        <w:rPr>
          <w:rFonts w:asciiTheme="majorHAnsi" w:hAnsiTheme="majorHAnsi" w:cstheme="majorHAnsi"/>
          <w:sz w:val="28"/>
          <w:szCs w:val="28"/>
          <w:lang w:val="en-US"/>
        </w:rPr>
        <w:t>that the conceptu</w:t>
      </w:r>
      <w:r w:rsidRPr="00B0221B">
        <w:rPr>
          <w:rFonts w:asciiTheme="majorHAnsi" w:hAnsiTheme="majorHAnsi" w:cstheme="majorHAnsi"/>
          <w:sz w:val="28"/>
          <w:szCs w:val="28"/>
          <w:lang w:val="en-US"/>
        </w:rPr>
        <w:t>al study is still at an early stage. It has been agreed after discussion that</w:t>
      </w:r>
      <w:r w:rsidR="00974A1D" w:rsidRPr="00B0221B">
        <w:rPr>
          <w:rFonts w:asciiTheme="majorHAnsi" w:hAnsiTheme="majorHAnsi" w:cstheme="majorHAnsi"/>
          <w:sz w:val="28"/>
          <w:szCs w:val="28"/>
          <w:lang w:val="en-US"/>
        </w:rPr>
        <w:t xml:space="preserve"> the conceptu</w:t>
      </w:r>
      <w:r w:rsidRPr="00B0221B">
        <w:rPr>
          <w:rFonts w:asciiTheme="majorHAnsi" w:hAnsiTheme="majorHAnsi" w:cstheme="majorHAnsi"/>
          <w:sz w:val="28"/>
          <w:szCs w:val="28"/>
          <w:lang w:val="en-US"/>
        </w:rPr>
        <w:t xml:space="preserve">al design study must continue with the aim to be completed by fall of 2017. </w:t>
      </w:r>
    </w:p>
    <w:p w:rsidR="00466955" w:rsidRDefault="00466955" w:rsidP="00466955">
      <w:pPr>
        <w:tabs>
          <w:tab w:val="left" w:pos="1350"/>
        </w:tabs>
        <w:ind w:left="360"/>
        <w:rPr>
          <w:rFonts w:asciiTheme="majorHAnsi" w:hAnsiTheme="majorHAnsi" w:cstheme="majorHAnsi"/>
          <w:sz w:val="28"/>
          <w:szCs w:val="28"/>
          <w:lang w:val="en-US"/>
        </w:rPr>
      </w:pPr>
      <w:r w:rsidRPr="00B0221B">
        <w:rPr>
          <w:rFonts w:asciiTheme="majorHAnsi" w:hAnsiTheme="majorHAnsi" w:cstheme="majorHAnsi"/>
          <w:sz w:val="28"/>
          <w:szCs w:val="28"/>
          <w:lang w:val="en-US"/>
        </w:rPr>
        <w:t>The main recommendations are summarized below.</w:t>
      </w:r>
    </w:p>
    <w:p w:rsidR="00B0221B" w:rsidRPr="00B0221B" w:rsidRDefault="00B0221B" w:rsidP="00466955">
      <w:pPr>
        <w:tabs>
          <w:tab w:val="left" w:pos="1350"/>
        </w:tabs>
        <w:ind w:left="360"/>
        <w:rPr>
          <w:rFonts w:asciiTheme="majorHAnsi" w:hAnsiTheme="majorHAnsi" w:cstheme="majorHAnsi"/>
          <w:sz w:val="16"/>
          <w:szCs w:val="16"/>
          <w:lang w:val="en-US"/>
        </w:rPr>
      </w:pPr>
    </w:p>
    <w:p w:rsidR="00974A1D" w:rsidRPr="00B0221B" w:rsidRDefault="00974A1D" w:rsidP="00974A1D">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1</w:t>
      </w:r>
    </w:p>
    <w:p w:rsidR="003A5718" w:rsidRPr="00B0221B" w:rsidRDefault="0022180D" w:rsidP="00974A1D">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We recall that it is essential to reach </w:t>
      </w:r>
      <w:r w:rsidR="003A5718" w:rsidRPr="00B0221B">
        <w:rPr>
          <w:rFonts w:asciiTheme="majorHAnsi" w:hAnsiTheme="majorHAnsi" w:cstheme="majorHAnsi"/>
          <w:sz w:val="28"/>
          <w:szCs w:val="28"/>
          <w:lang w:val="en-US"/>
        </w:rPr>
        <w:t>B*L=1 Tm</w:t>
      </w:r>
      <w:r w:rsidRPr="00B0221B">
        <w:rPr>
          <w:rFonts w:asciiTheme="majorHAnsi" w:hAnsiTheme="majorHAnsi" w:cstheme="majorHAnsi"/>
          <w:sz w:val="28"/>
          <w:szCs w:val="28"/>
          <w:lang w:val="en-US"/>
        </w:rPr>
        <w:t xml:space="preserve">. In </w:t>
      </w:r>
      <w:r w:rsidR="0006034D">
        <w:rPr>
          <w:rFonts w:asciiTheme="majorHAnsi" w:hAnsiTheme="majorHAnsi" w:cstheme="majorHAnsi"/>
          <w:sz w:val="28"/>
          <w:szCs w:val="28"/>
          <w:lang w:val="en-US"/>
        </w:rPr>
        <w:t xml:space="preserve">order to reach that we allow </w:t>
      </w:r>
      <w:proofErr w:type="gramStart"/>
      <w:r w:rsidR="0006034D">
        <w:rPr>
          <w:rFonts w:asciiTheme="majorHAnsi" w:hAnsiTheme="majorHAnsi" w:cstheme="majorHAnsi"/>
          <w:sz w:val="28"/>
          <w:szCs w:val="28"/>
          <w:lang w:val="en-US"/>
        </w:rPr>
        <w:t xml:space="preserve">to </w:t>
      </w:r>
      <w:r w:rsidRPr="00B0221B">
        <w:rPr>
          <w:rFonts w:asciiTheme="majorHAnsi" w:hAnsiTheme="majorHAnsi" w:cstheme="majorHAnsi"/>
          <w:sz w:val="28"/>
          <w:szCs w:val="28"/>
          <w:lang w:val="en-US"/>
        </w:rPr>
        <w:t>modify</w:t>
      </w:r>
      <w:proofErr w:type="gramEnd"/>
      <w:r w:rsidRPr="00B0221B">
        <w:rPr>
          <w:rFonts w:asciiTheme="majorHAnsi" w:hAnsiTheme="majorHAnsi" w:cstheme="majorHAnsi"/>
          <w:sz w:val="28"/>
          <w:szCs w:val="28"/>
          <w:lang w:val="en-US"/>
        </w:rPr>
        <w:t xml:space="preserve"> the following parameters:</w:t>
      </w:r>
    </w:p>
    <w:p w:rsidR="003A5718" w:rsidRPr="00B0221B"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Cu/SC ratio &gt;6</w:t>
      </w:r>
    </w:p>
    <w:p w:rsidR="003A5718" w:rsidRPr="00B0221B"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Test current: +5%</w:t>
      </w:r>
      <w:bookmarkStart w:id="0" w:name="_GoBack"/>
      <w:bookmarkEnd w:id="0"/>
    </w:p>
    <w:p w:rsidR="003A5718" w:rsidRPr="00B0221B"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Hot spot temperature (without protection system): &lt;200 K</w:t>
      </w:r>
    </w:p>
    <w:p w:rsidR="003A5718" w:rsidRPr="00B0221B"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Quench voltage (without protection system): &lt;1200 V</w:t>
      </w:r>
    </w:p>
    <w:p w:rsidR="003A5718" w:rsidRPr="00B0221B"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Working point &lt; 60% of the load line</w:t>
      </w:r>
    </w:p>
    <w:p w:rsidR="003A5718" w:rsidRDefault="003A5718" w:rsidP="0022180D">
      <w:pPr>
        <w:pStyle w:val="Listenabsatz"/>
        <w:numPr>
          <w:ilvl w:val="0"/>
          <w:numId w:val="10"/>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No specification of the type of insulation</w:t>
      </w:r>
    </w:p>
    <w:p w:rsidR="00B0221B" w:rsidRPr="00B0221B" w:rsidRDefault="00B0221B" w:rsidP="00B0221B">
      <w:pPr>
        <w:pStyle w:val="Listenabsatz"/>
        <w:tabs>
          <w:tab w:val="left" w:pos="1350"/>
        </w:tabs>
        <w:rPr>
          <w:rFonts w:asciiTheme="majorHAnsi" w:hAnsiTheme="majorHAnsi" w:cstheme="majorHAnsi"/>
          <w:sz w:val="28"/>
          <w:szCs w:val="28"/>
          <w:lang w:val="en-US"/>
        </w:rPr>
      </w:pPr>
    </w:p>
    <w:p w:rsidR="00974A1D" w:rsidRPr="00B0221B" w:rsidRDefault="00974A1D" w:rsidP="00974A1D">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2</w:t>
      </w:r>
    </w:p>
    <w:p w:rsidR="00974A1D" w:rsidRDefault="00974A1D" w:rsidP="00847787">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The conceptual design study </w:t>
      </w:r>
      <w:r w:rsidR="00847787" w:rsidRPr="00B0221B">
        <w:rPr>
          <w:rFonts w:asciiTheme="majorHAnsi" w:hAnsiTheme="majorHAnsi" w:cstheme="majorHAnsi"/>
          <w:sz w:val="28"/>
          <w:szCs w:val="28"/>
          <w:lang w:val="en-US"/>
        </w:rPr>
        <w:t>shall include a</w:t>
      </w:r>
      <w:r w:rsidRPr="00B0221B">
        <w:rPr>
          <w:rFonts w:asciiTheme="majorHAnsi" w:hAnsiTheme="majorHAnsi" w:cstheme="majorHAnsi"/>
          <w:sz w:val="28"/>
          <w:szCs w:val="28"/>
          <w:lang w:val="en-US"/>
        </w:rPr>
        <w:t xml:space="preserve"> 3D electromagnetic study including field map in the yoke and the description of the magnetic properties of the materials (“B-H-curve”) as well as a </w:t>
      </w:r>
      <w:r w:rsidR="00847787" w:rsidRPr="00B0221B">
        <w:rPr>
          <w:rFonts w:asciiTheme="majorHAnsi" w:hAnsiTheme="majorHAnsi" w:cstheme="majorHAnsi"/>
          <w:sz w:val="28"/>
          <w:szCs w:val="28"/>
          <w:lang w:val="en-US"/>
        </w:rPr>
        <w:t xml:space="preserve">3D </w:t>
      </w:r>
      <w:r w:rsidRPr="00B0221B">
        <w:rPr>
          <w:rFonts w:asciiTheme="majorHAnsi" w:hAnsiTheme="majorHAnsi" w:cstheme="majorHAnsi"/>
          <w:sz w:val="28"/>
          <w:szCs w:val="28"/>
          <w:lang w:val="en-US"/>
        </w:rPr>
        <w:t>structural analysis of the coil.</w:t>
      </w:r>
    </w:p>
    <w:p w:rsidR="00B0221B" w:rsidRPr="00B0221B" w:rsidRDefault="00B0221B" w:rsidP="00847787">
      <w:pPr>
        <w:tabs>
          <w:tab w:val="left" w:pos="1350"/>
        </w:tabs>
        <w:rPr>
          <w:rFonts w:asciiTheme="majorHAnsi" w:hAnsiTheme="majorHAnsi" w:cstheme="majorHAnsi"/>
          <w:sz w:val="16"/>
          <w:szCs w:val="16"/>
          <w:lang w:val="en-US"/>
        </w:rPr>
      </w:pPr>
    </w:p>
    <w:p w:rsidR="00847787" w:rsidRPr="00B0221B" w:rsidRDefault="00847787" w:rsidP="00847787">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3</w:t>
      </w:r>
    </w:p>
    <w:p w:rsidR="00F17356" w:rsidRDefault="00F17356" w:rsidP="00847787">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A particular feature of this magnet is that the coil has to slide during the energization against the fixed supporting plate. This </w:t>
      </w:r>
      <w:r w:rsidR="008E1192" w:rsidRPr="00B0221B">
        <w:rPr>
          <w:rFonts w:asciiTheme="majorHAnsi" w:hAnsiTheme="majorHAnsi" w:cstheme="majorHAnsi"/>
          <w:sz w:val="28"/>
          <w:szCs w:val="28"/>
          <w:lang w:val="en-US"/>
        </w:rPr>
        <w:t xml:space="preserve">generates energy release possibly inducing unwanted quenches. Considering that a similar magnet (SAMURAI) is operating successfully with coils immerged in a helium bath we recommend the same principles for the CBM dipole (including highly conductive plates) in order to reduce the technical risk. </w:t>
      </w:r>
      <w:r w:rsidR="00364B74" w:rsidRPr="00B0221B">
        <w:rPr>
          <w:rFonts w:asciiTheme="majorHAnsi" w:hAnsiTheme="majorHAnsi" w:cstheme="majorHAnsi"/>
          <w:sz w:val="28"/>
          <w:szCs w:val="28"/>
          <w:lang w:val="en-US"/>
        </w:rPr>
        <w:t>Therefore we strongly recommend a helium bath cooling.</w:t>
      </w:r>
    </w:p>
    <w:p w:rsidR="00B0221B" w:rsidRPr="00B0221B" w:rsidRDefault="00B0221B" w:rsidP="00847787">
      <w:pPr>
        <w:tabs>
          <w:tab w:val="left" w:pos="1350"/>
        </w:tabs>
        <w:rPr>
          <w:rFonts w:asciiTheme="majorHAnsi" w:hAnsiTheme="majorHAnsi" w:cstheme="majorHAnsi"/>
          <w:sz w:val="16"/>
          <w:szCs w:val="16"/>
          <w:lang w:val="en-US"/>
        </w:rPr>
      </w:pPr>
    </w:p>
    <w:p w:rsidR="00364B74" w:rsidRPr="00B0221B" w:rsidRDefault="00364B74" w:rsidP="00364B74">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4</w:t>
      </w:r>
    </w:p>
    <w:p w:rsidR="00364B74" w:rsidRPr="00B0221B" w:rsidRDefault="00364B74" w:rsidP="00364B74">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For the coils we recommend two independent cooling circuits in parallel.</w:t>
      </w:r>
    </w:p>
    <w:p w:rsidR="00847787" w:rsidRPr="00B0221B" w:rsidRDefault="00847787" w:rsidP="00974A1D">
      <w:pPr>
        <w:tabs>
          <w:tab w:val="left" w:pos="1350"/>
        </w:tabs>
        <w:rPr>
          <w:rFonts w:asciiTheme="majorHAnsi" w:hAnsiTheme="majorHAnsi" w:cstheme="majorHAnsi"/>
          <w:sz w:val="28"/>
          <w:szCs w:val="28"/>
          <w:lang w:val="en-US"/>
        </w:rPr>
      </w:pPr>
    </w:p>
    <w:p w:rsidR="00364B74" w:rsidRPr="00B0221B" w:rsidRDefault="00364B74" w:rsidP="00364B74">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lastRenderedPageBreak/>
        <w:t>Recommendation 5</w:t>
      </w:r>
    </w:p>
    <w:p w:rsidR="00364B74" w:rsidRPr="00B0221B" w:rsidRDefault="00364B74" w:rsidP="00364B74">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Reduce the thermal losses in the supports at 4.5K by at least a factor of three, for example by increasing the number of cylinders, reducing the cross section, using other material.</w:t>
      </w:r>
    </w:p>
    <w:p w:rsidR="00364B74" w:rsidRPr="00B0221B" w:rsidRDefault="00364B74" w:rsidP="00974A1D">
      <w:pPr>
        <w:tabs>
          <w:tab w:val="left" w:pos="1350"/>
        </w:tabs>
        <w:rPr>
          <w:rFonts w:asciiTheme="majorHAnsi" w:hAnsiTheme="majorHAnsi" w:cstheme="majorHAnsi"/>
          <w:sz w:val="16"/>
          <w:szCs w:val="16"/>
          <w:lang w:val="en-US"/>
        </w:rPr>
      </w:pPr>
    </w:p>
    <w:p w:rsidR="0054135D" w:rsidRPr="00B0221B" w:rsidRDefault="0054135D" w:rsidP="0054135D">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6</w:t>
      </w:r>
    </w:p>
    <w:p w:rsidR="0054135D" w:rsidRPr="00B0221B" w:rsidRDefault="0054135D" w:rsidP="00974A1D">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Implement two fully independent protection systems including quench detector, breakers and dump resistors.</w:t>
      </w:r>
    </w:p>
    <w:p w:rsidR="0054135D" w:rsidRPr="00B0221B" w:rsidRDefault="003A5718" w:rsidP="00974A1D">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Each </w:t>
      </w:r>
      <w:r w:rsidR="0054135D" w:rsidRPr="00B0221B">
        <w:rPr>
          <w:rFonts w:asciiTheme="majorHAnsi" w:hAnsiTheme="majorHAnsi" w:cstheme="majorHAnsi"/>
          <w:sz w:val="28"/>
          <w:szCs w:val="28"/>
          <w:lang w:val="en-US"/>
        </w:rPr>
        <w:t>protection system</w:t>
      </w:r>
      <w:r w:rsidRPr="00B0221B">
        <w:rPr>
          <w:rFonts w:asciiTheme="majorHAnsi" w:hAnsiTheme="majorHAnsi" w:cstheme="majorHAnsi"/>
          <w:sz w:val="28"/>
          <w:szCs w:val="28"/>
          <w:lang w:val="en-US"/>
        </w:rPr>
        <w:t xml:space="preserve"> must </w:t>
      </w:r>
      <w:r w:rsidR="0054135D" w:rsidRPr="00B0221B">
        <w:rPr>
          <w:rFonts w:asciiTheme="majorHAnsi" w:hAnsiTheme="majorHAnsi" w:cstheme="majorHAnsi"/>
          <w:sz w:val="28"/>
          <w:szCs w:val="28"/>
          <w:lang w:val="en-US"/>
        </w:rPr>
        <w:t xml:space="preserve">be able to </w:t>
      </w:r>
      <w:r w:rsidRPr="00B0221B">
        <w:rPr>
          <w:rFonts w:asciiTheme="majorHAnsi" w:hAnsiTheme="majorHAnsi" w:cstheme="majorHAnsi"/>
          <w:sz w:val="28"/>
          <w:szCs w:val="28"/>
          <w:lang w:val="en-US"/>
        </w:rPr>
        <w:t xml:space="preserve">absorb the complete energy. </w:t>
      </w:r>
    </w:p>
    <w:p w:rsidR="0054135D" w:rsidRDefault="0054135D" w:rsidP="00974A1D">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The grounding strategy </w:t>
      </w:r>
      <w:r w:rsidR="001E04CE" w:rsidRPr="00B0221B">
        <w:rPr>
          <w:rFonts w:asciiTheme="majorHAnsi" w:hAnsiTheme="majorHAnsi" w:cstheme="majorHAnsi"/>
          <w:sz w:val="28"/>
          <w:szCs w:val="28"/>
          <w:lang w:val="en-US"/>
        </w:rPr>
        <w:t>must equilibrate the voltages with respect to ground during fast discharges.</w:t>
      </w:r>
    </w:p>
    <w:p w:rsidR="00B0221B" w:rsidRPr="00B0221B" w:rsidRDefault="00B0221B" w:rsidP="00974A1D">
      <w:pPr>
        <w:tabs>
          <w:tab w:val="left" w:pos="1350"/>
        </w:tabs>
        <w:rPr>
          <w:rFonts w:asciiTheme="majorHAnsi" w:hAnsiTheme="majorHAnsi" w:cstheme="majorHAnsi"/>
          <w:sz w:val="16"/>
          <w:szCs w:val="16"/>
          <w:lang w:val="en-US"/>
        </w:rPr>
      </w:pPr>
    </w:p>
    <w:p w:rsidR="001E04CE" w:rsidRPr="00B0221B" w:rsidRDefault="001E04CE" w:rsidP="001E04CE">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7</w:t>
      </w:r>
    </w:p>
    <w:p w:rsidR="003A5718" w:rsidRDefault="003A5718" w:rsidP="003A5718">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After the selection of the conductor and coil parameters and a TOSCA analysis </w:t>
      </w:r>
      <w:proofErr w:type="gramStart"/>
      <w:r w:rsidRPr="00B0221B">
        <w:rPr>
          <w:rFonts w:asciiTheme="majorHAnsi" w:hAnsiTheme="majorHAnsi" w:cstheme="majorHAnsi"/>
          <w:sz w:val="28"/>
          <w:szCs w:val="28"/>
          <w:lang w:val="en-US"/>
        </w:rPr>
        <w:t>( calculation</w:t>
      </w:r>
      <w:proofErr w:type="gramEnd"/>
      <w:r w:rsidRPr="00B0221B">
        <w:rPr>
          <w:rFonts w:asciiTheme="majorHAnsi" w:hAnsiTheme="majorHAnsi" w:cstheme="majorHAnsi"/>
          <w:sz w:val="28"/>
          <w:szCs w:val="28"/>
          <w:lang w:val="en-US"/>
        </w:rPr>
        <w:t xml:space="preserve"> of the inductances and the max. coil field) make a careful quench analysis with for example the SQUID quench program.</w:t>
      </w:r>
    </w:p>
    <w:p w:rsidR="00B0221B" w:rsidRPr="00B0221B" w:rsidRDefault="00B0221B" w:rsidP="003A5718">
      <w:pPr>
        <w:tabs>
          <w:tab w:val="left" w:pos="1350"/>
        </w:tabs>
        <w:rPr>
          <w:rFonts w:asciiTheme="majorHAnsi" w:hAnsiTheme="majorHAnsi" w:cstheme="majorHAnsi"/>
          <w:sz w:val="16"/>
          <w:szCs w:val="16"/>
          <w:lang w:val="en-US"/>
        </w:rPr>
      </w:pPr>
    </w:p>
    <w:p w:rsidR="0042190F" w:rsidRPr="00B0221B" w:rsidRDefault="0042190F" w:rsidP="0042190F">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Recommendation 8</w:t>
      </w:r>
    </w:p>
    <w:p w:rsidR="0042190F" w:rsidRPr="00B0221B" w:rsidRDefault="0042190F" w:rsidP="003A5718">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Design and test the current leads so that they can support the nominal current for 1 minute without any cooling.</w:t>
      </w:r>
    </w:p>
    <w:p w:rsidR="004C3656" w:rsidRPr="00B0221B" w:rsidRDefault="004C3656" w:rsidP="004C3656">
      <w:pPr>
        <w:rPr>
          <w:rFonts w:asciiTheme="majorHAnsi" w:hAnsiTheme="majorHAnsi" w:cstheme="majorHAnsi"/>
          <w:sz w:val="28"/>
          <w:szCs w:val="28"/>
          <w:lang w:val="en-US"/>
        </w:rPr>
      </w:pPr>
    </w:p>
    <w:p w:rsidR="00847787" w:rsidRPr="00B0221B" w:rsidRDefault="00847787" w:rsidP="00847787">
      <w:pPr>
        <w:tabs>
          <w:tab w:val="left" w:pos="1350"/>
        </w:tabs>
        <w:rPr>
          <w:rFonts w:asciiTheme="majorHAnsi" w:hAnsiTheme="majorHAnsi" w:cstheme="majorHAnsi"/>
          <w:b/>
          <w:sz w:val="28"/>
          <w:szCs w:val="28"/>
          <w:lang w:val="en-US"/>
        </w:rPr>
      </w:pPr>
      <w:r w:rsidRPr="00B0221B">
        <w:rPr>
          <w:rFonts w:asciiTheme="majorHAnsi" w:hAnsiTheme="majorHAnsi" w:cstheme="majorHAnsi"/>
          <w:b/>
          <w:sz w:val="28"/>
          <w:szCs w:val="28"/>
          <w:lang w:val="en-US"/>
        </w:rPr>
        <w:t xml:space="preserve">Additional remarks: </w:t>
      </w:r>
    </w:p>
    <w:p w:rsidR="00847787" w:rsidRPr="00B0221B" w:rsidRDefault="00847787" w:rsidP="0054135D">
      <w:pPr>
        <w:pStyle w:val="Listenabsatz"/>
        <w:numPr>
          <w:ilvl w:val="0"/>
          <w:numId w:val="13"/>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 xml:space="preserve">We observed a difference </w:t>
      </w:r>
      <w:r w:rsidR="00F16EE0" w:rsidRPr="00B0221B">
        <w:rPr>
          <w:rFonts w:asciiTheme="majorHAnsi" w:hAnsiTheme="majorHAnsi" w:cstheme="majorHAnsi"/>
          <w:sz w:val="28"/>
          <w:szCs w:val="28"/>
          <w:lang w:val="en-US"/>
        </w:rPr>
        <w:t xml:space="preserve">in the integral field (B*L) result </w:t>
      </w:r>
      <w:r w:rsidRPr="00B0221B">
        <w:rPr>
          <w:rFonts w:asciiTheme="majorHAnsi" w:hAnsiTheme="majorHAnsi" w:cstheme="majorHAnsi"/>
          <w:sz w:val="28"/>
          <w:szCs w:val="28"/>
          <w:lang w:val="en-US"/>
        </w:rPr>
        <w:t xml:space="preserve">compared to the </w:t>
      </w:r>
      <w:r w:rsidR="00FD4779" w:rsidRPr="00B0221B">
        <w:rPr>
          <w:rFonts w:asciiTheme="majorHAnsi" w:hAnsiTheme="majorHAnsi" w:cstheme="majorHAnsi"/>
          <w:sz w:val="28"/>
          <w:szCs w:val="28"/>
          <w:lang w:val="en-US"/>
        </w:rPr>
        <w:t xml:space="preserve">TDR design. </w:t>
      </w:r>
      <w:r w:rsidR="00F16EE0" w:rsidRPr="00B0221B">
        <w:rPr>
          <w:rFonts w:asciiTheme="majorHAnsi" w:hAnsiTheme="majorHAnsi" w:cstheme="majorHAnsi"/>
          <w:sz w:val="28"/>
          <w:szCs w:val="28"/>
          <w:lang w:val="en-US"/>
        </w:rPr>
        <w:t>The following changes have been made.</w:t>
      </w:r>
    </w:p>
    <w:p w:rsidR="00847787" w:rsidRPr="00B0221B" w:rsidRDefault="00847787" w:rsidP="00847787">
      <w:pPr>
        <w:pStyle w:val="Listenabsatz"/>
        <w:numPr>
          <w:ilvl w:val="0"/>
          <w:numId w:val="12"/>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Gap 1.4m to 1.44m</w:t>
      </w:r>
    </w:p>
    <w:p w:rsidR="00847787" w:rsidRPr="00B0221B" w:rsidRDefault="00847787" w:rsidP="00847787">
      <w:pPr>
        <w:pStyle w:val="Listenabsatz"/>
        <w:numPr>
          <w:ilvl w:val="0"/>
          <w:numId w:val="12"/>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Return yoke shape was changed</w:t>
      </w:r>
    </w:p>
    <w:p w:rsidR="00847787" w:rsidRPr="00B0221B" w:rsidRDefault="00847787" w:rsidP="00847787">
      <w:pPr>
        <w:pStyle w:val="Listenabsatz"/>
        <w:numPr>
          <w:ilvl w:val="0"/>
          <w:numId w:val="12"/>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ARMCO steel was chosen for the conical pole (no B-H curve presented) , 1010 in the TDR</w:t>
      </w:r>
    </w:p>
    <w:p w:rsidR="00847787" w:rsidRPr="00B0221B" w:rsidRDefault="00847787" w:rsidP="00847787">
      <w:pPr>
        <w:pStyle w:val="Listenabsatz"/>
        <w:numPr>
          <w:ilvl w:val="0"/>
          <w:numId w:val="12"/>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COMSOL code instead of TOSCA</w:t>
      </w:r>
    </w:p>
    <w:p w:rsidR="00847787" w:rsidRPr="00B0221B" w:rsidRDefault="00847787" w:rsidP="00847787">
      <w:pPr>
        <w:pStyle w:val="Listenabsatz"/>
        <w:numPr>
          <w:ilvl w:val="0"/>
          <w:numId w:val="12"/>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Unchanged: coil size; N*I= 1.2 MA; I=686 A</w:t>
      </w:r>
    </w:p>
    <w:p w:rsidR="00847787" w:rsidRPr="00B0221B" w:rsidRDefault="00F16EE0" w:rsidP="00847787">
      <w:p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It is suggested to</w:t>
      </w:r>
      <w:r w:rsidR="00847787" w:rsidRPr="00B0221B">
        <w:rPr>
          <w:rFonts w:asciiTheme="majorHAnsi" w:hAnsiTheme="majorHAnsi" w:cstheme="majorHAnsi"/>
          <w:sz w:val="28"/>
          <w:szCs w:val="28"/>
          <w:lang w:val="en-US"/>
        </w:rPr>
        <w:t xml:space="preserve"> repeat </w:t>
      </w:r>
      <w:r w:rsidRPr="00B0221B">
        <w:rPr>
          <w:rFonts w:asciiTheme="majorHAnsi" w:hAnsiTheme="majorHAnsi" w:cstheme="majorHAnsi"/>
          <w:sz w:val="28"/>
          <w:szCs w:val="28"/>
          <w:lang w:val="en-US"/>
        </w:rPr>
        <w:t xml:space="preserve">the B*L </w:t>
      </w:r>
      <w:r w:rsidR="00847787" w:rsidRPr="00B0221B">
        <w:rPr>
          <w:rFonts w:asciiTheme="majorHAnsi" w:hAnsiTheme="majorHAnsi" w:cstheme="majorHAnsi"/>
          <w:sz w:val="28"/>
          <w:szCs w:val="28"/>
          <w:lang w:val="en-US"/>
        </w:rPr>
        <w:t xml:space="preserve">calculation with unchanged </w:t>
      </w:r>
      <w:r w:rsidRPr="00B0221B">
        <w:rPr>
          <w:rFonts w:asciiTheme="majorHAnsi" w:hAnsiTheme="majorHAnsi" w:cstheme="majorHAnsi"/>
          <w:sz w:val="28"/>
          <w:szCs w:val="28"/>
          <w:lang w:val="en-US"/>
        </w:rPr>
        <w:t xml:space="preserve">parameters </w:t>
      </w:r>
      <w:r w:rsidR="00847787" w:rsidRPr="00B0221B">
        <w:rPr>
          <w:rFonts w:asciiTheme="majorHAnsi" w:hAnsiTheme="majorHAnsi" w:cstheme="majorHAnsi"/>
          <w:sz w:val="28"/>
          <w:szCs w:val="28"/>
          <w:lang w:val="en-US"/>
        </w:rPr>
        <w:t>1-3</w:t>
      </w:r>
      <w:r w:rsidR="00CA14F9" w:rsidRPr="00B0221B">
        <w:rPr>
          <w:rFonts w:asciiTheme="majorHAnsi" w:hAnsiTheme="majorHAnsi" w:cstheme="majorHAnsi"/>
          <w:sz w:val="28"/>
          <w:szCs w:val="28"/>
          <w:lang w:val="en-US"/>
        </w:rPr>
        <w:t xml:space="preserve"> in order to reproduce the former results.</w:t>
      </w:r>
      <w:r w:rsidRPr="00B0221B">
        <w:rPr>
          <w:rFonts w:asciiTheme="majorHAnsi" w:hAnsiTheme="majorHAnsi" w:cstheme="majorHAnsi"/>
          <w:sz w:val="28"/>
          <w:szCs w:val="28"/>
          <w:lang w:val="en-US"/>
        </w:rPr>
        <w:t xml:space="preserve"> Afterwards check the inf</w:t>
      </w:r>
      <w:r w:rsidR="00BF6D60" w:rsidRPr="00B0221B">
        <w:rPr>
          <w:rFonts w:asciiTheme="majorHAnsi" w:hAnsiTheme="majorHAnsi" w:cstheme="majorHAnsi"/>
          <w:sz w:val="28"/>
          <w:szCs w:val="28"/>
          <w:lang w:val="en-US"/>
        </w:rPr>
        <w:t>luence of the parameter changes and optimize the field design.</w:t>
      </w:r>
    </w:p>
    <w:p w:rsidR="0054135D" w:rsidRPr="00B0221B" w:rsidRDefault="0054135D" w:rsidP="0054135D">
      <w:pPr>
        <w:pStyle w:val="Listenabsatz"/>
        <w:numPr>
          <w:ilvl w:val="0"/>
          <w:numId w:val="13"/>
        </w:numPr>
        <w:tabs>
          <w:tab w:val="left" w:pos="1350"/>
        </w:tabs>
        <w:rPr>
          <w:rFonts w:asciiTheme="majorHAnsi" w:hAnsiTheme="majorHAnsi" w:cstheme="majorHAnsi"/>
          <w:sz w:val="28"/>
          <w:szCs w:val="28"/>
          <w:lang w:val="en-US"/>
        </w:rPr>
      </w:pPr>
      <w:r w:rsidRPr="00B0221B">
        <w:rPr>
          <w:rFonts w:asciiTheme="majorHAnsi" w:hAnsiTheme="majorHAnsi" w:cstheme="majorHAnsi"/>
          <w:sz w:val="28"/>
          <w:szCs w:val="28"/>
          <w:lang w:val="en-US"/>
        </w:rPr>
        <w:t>A convincing cryogenic distribution system is missing. It must include also the operation of the HADES magnet. According to the specification CBM dipole and HADES magnet must be cooled down or warmed up independently. Define the cryogenic system in close contact with people at GSI.</w:t>
      </w:r>
    </w:p>
    <w:p w:rsidR="0054135D" w:rsidRPr="00F16EE0" w:rsidRDefault="0054135D" w:rsidP="004C3656">
      <w:pPr>
        <w:rPr>
          <w:lang w:val="en-US"/>
        </w:rPr>
      </w:pPr>
    </w:p>
    <w:sectPr w:rsidR="0054135D" w:rsidRPr="00F16EE0" w:rsidSect="00B0221B">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1FE41BA8"/>
    <w:multiLevelType w:val="hybridMultilevel"/>
    <w:tmpl w:val="52CE0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7F132A"/>
    <w:multiLevelType w:val="hybridMultilevel"/>
    <w:tmpl w:val="42D8EF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10">
    <w:nsid w:val="659B2C09"/>
    <w:multiLevelType w:val="hybridMultilevel"/>
    <w:tmpl w:val="C1B84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286452"/>
    <w:multiLevelType w:val="hybridMultilevel"/>
    <w:tmpl w:val="B622DE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6B7539"/>
    <w:multiLevelType w:val="hybridMultilevel"/>
    <w:tmpl w:val="4B36E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5"/>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18"/>
    <w:rsid w:val="0002006B"/>
    <w:rsid w:val="0006034D"/>
    <w:rsid w:val="000C0BD1"/>
    <w:rsid w:val="00162F00"/>
    <w:rsid w:val="001E04CE"/>
    <w:rsid w:val="0022180D"/>
    <w:rsid w:val="0022283B"/>
    <w:rsid w:val="002261F8"/>
    <w:rsid w:val="0026014E"/>
    <w:rsid w:val="00291169"/>
    <w:rsid w:val="002C48E7"/>
    <w:rsid w:val="0032717B"/>
    <w:rsid w:val="00337901"/>
    <w:rsid w:val="00364B74"/>
    <w:rsid w:val="00370A03"/>
    <w:rsid w:val="003A5718"/>
    <w:rsid w:val="0042190F"/>
    <w:rsid w:val="00466955"/>
    <w:rsid w:val="004C3656"/>
    <w:rsid w:val="004F5913"/>
    <w:rsid w:val="0050204D"/>
    <w:rsid w:val="0054135D"/>
    <w:rsid w:val="00697119"/>
    <w:rsid w:val="006C0161"/>
    <w:rsid w:val="00703762"/>
    <w:rsid w:val="00794B64"/>
    <w:rsid w:val="007D6ED1"/>
    <w:rsid w:val="007E0DBB"/>
    <w:rsid w:val="00847787"/>
    <w:rsid w:val="00857EDE"/>
    <w:rsid w:val="008C0955"/>
    <w:rsid w:val="008D49FE"/>
    <w:rsid w:val="008E1192"/>
    <w:rsid w:val="0090324A"/>
    <w:rsid w:val="00943567"/>
    <w:rsid w:val="00974A1D"/>
    <w:rsid w:val="00A872E6"/>
    <w:rsid w:val="00AB0710"/>
    <w:rsid w:val="00B0221B"/>
    <w:rsid w:val="00B26547"/>
    <w:rsid w:val="00BF6D60"/>
    <w:rsid w:val="00C26A0C"/>
    <w:rsid w:val="00C627BD"/>
    <w:rsid w:val="00C654BB"/>
    <w:rsid w:val="00CA14F9"/>
    <w:rsid w:val="00DD485D"/>
    <w:rsid w:val="00DE652F"/>
    <w:rsid w:val="00EF7432"/>
    <w:rsid w:val="00F16EE0"/>
    <w:rsid w:val="00F17356"/>
    <w:rsid w:val="00F436F2"/>
    <w:rsid w:val="00FD1B32"/>
    <w:rsid w:val="00FD47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718"/>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qFormat/>
    <w:rsid w:val="00221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718"/>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qFormat/>
    <w:rsid w:val="002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077">
      <w:bodyDiv w:val="1"/>
      <w:marLeft w:val="0"/>
      <w:marRight w:val="0"/>
      <w:marTop w:val="0"/>
      <w:marBottom w:val="0"/>
      <w:divBdr>
        <w:top w:val="none" w:sz="0" w:space="0" w:color="auto"/>
        <w:left w:val="none" w:sz="0" w:space="0" w:color="auto"/>
        <w:bottom w:val="none" w:sz="0" w:space="0" w:color="auto"/>
        <w:right w:val="none" w:sz="0" w:space="0" w:color="auto"/>
      </w:divBdr>
    </w:div>
    <w:div w:id="118964044">
      <w:bodyDiv w:val="1"/>
      <w:marLeft w:val="0"/>
      <w:marRight w:val="0"/>
      <w:marTop w:val="0"/>
      <w:marBottom w:val="0"/>
      <w:divBdr>
        <w:top w:val="none" w:sz="0" w:space="0" w:color="auto"/>
        <w:left w:val="none" w:sz="0" w:space="0" w:color="auto"/>
        <w:bottom w:val="none" w:sz="0" w:space="0" w:color="auto"/>
        <w:right w:val="none" w:sz="0" w:space="0" w:color="auto"/>
      </w:divBdr>
    </w:div>
    <w:div w:id="389765179">
      <w:bodyDiv w:val="1"/>
      <w:marLeft w:val="0"/>
      <w:marRight w:val="0"/>
      <w:marTop w:val="0"/>
      <w:marBottom w:val="0"/>
      <w:divBdr>
        <w:top w:val="none" w:sz="0" w:space="0" w:color="auto"/>
        <w:left w:val="none" w:sz="0" w:space="0" w:color="auto"/>
        <w:bottom w:val="none" w:sz="0" w:space="0" w:color="auto"/>
        <w:right w:val="none" w:sz="0" w:space="0" w:color="auto"/>
      </w:divBdr>
    </w:div>
    <w:div w:id="401027915">
      <w:bodyDiv w:val="1"/>
      <w:marLeft w:val="0"/>
      <w:marRight w:val="0"/>
      <w:marTop w:val="0"/>
      <w:marBottom w:val="0"/>
      <w:divBdr>
        <w:top w:val="none" w:sz="0" w:space="0" w:color="auto"/>
        <w:left w:val="none" w:sz="0" w:space="0" w:color="auto"/>
        <w:bottom w:val="none" w:sz="0" w:space="0" w:color="auto"/>
        <w:right w:val="none" w:sz="0" w:space="0" w:color="auto"/>
      </w:divBdr>
    </w:div>
    <w:div w:id="887766084">
      <w:bodyDiv w:val="1"/>
      <w:marLeft w:val="0"/>
      <w:marRight w:val="0"/>
      <w:marTop w:val="0"/>
      <w:marBottom w:val="0"/>
      <w:divBdr>
        <w:top w:val="none" w:sz="0" w:space="0" w:color="auto"/>
        <w:left w:val="none" w:sz="0" w:space="0" w:color="auto"/>
        <w:bottom w:val="none" w:sz="0" w:space="0" w:color="auto"/>
        <w:right w:val="none" w:sz="0" w:space="0" w:color="auto"/>
      </w:divBdr>
    </w:div>
    <w:div w:id="12553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desruser1</dc:creator>
  <cp:lastModifiedBy>Senger, Peter Prof. Dr.</cp:lastModifiedBy>
  <cp:revision>7</cp:revision>
  <dcterms:created xsi:type="dcterms:W3CDTF">2017-05-28T12:07:00Z</dcterms:created>
  <dcterms:modified xsi:type="dcterms:W3CDTF">2017-05-31T09:37:00Z</dcterms:modified>
</cp:coreProperties>
</file>