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BE1" w:rsidRPr="00120531" w:rsidRDefault="00A44BE1">
      <w:pPr>
        <w:ind w:left="284"/>
        <w:rPr>
          <w:rFonts w:ascii="Arial" w:hAnsi="Arial"/>
          <w:caps/>
          <w:sz w:val="14"/>
          <w:lang w:val="en-GB"/>
        </w:rPr>
      </w:pPr>
    </w:p>
    <w:p w:rsidR="00A44BE1" w:rsidRPr="00120531" w:rsidRDefault="00A44BE1">
      <w:pPr>
        <w:ind w:left="284"/>
        <w:rPr>
          <w:rFonts w:ascii="Arial" w:hAnsi="Arial"/>
          <w:caps/>
          <w:sz w:val="14"/>
          <w:lang w:val="en-GB"/>
        </w:rPr>
      </w:pPr>
    </w:p>
    <w:p w:rsidR="00DB713B" w:rsidRPr="001E19A3" w:rsidRDefault="00DB713B" w:rsidP="001E19A3">
      <w:pPr>
        <w:jc w:val="center"/>
        <w:rPr>
          <w:sz w:val="32"/>
          <w:szCs w:val="32"/>
          <w:lang w:val="en-GB"/>
        </w:rPr>
      </w:pPr>
      <w:bookmarkStart w:id="0" w:name="_Toc460405815"/>
      <w:bookmarkStart w:id="1" w:name="_Toc460413675"/>
      <w:bookmarkStart w:id="2" w:name="_Toc460413874"/>
      <w:bookmarkStart w:id="3" w:name="_Toc463001288"/>
      <w:r w:rsidRPr="001E19A3">
        <w:rPr>
          <w:sz w:val="32"/>
          <w:szCs w:val="32"/>
          <w:lang w:val="en-GB"/>
        </w:rPr>
        <w:t>HORIZON 2020</w:t>
      </w:r>
      <w:bookmarkEnd w:id="0"/>
      <w:bookmarkEnd w:id="1"/>
      <w:bookmarkEnd w:id="2"/>
      <w:bookmarkEnd w:id="3"/>
    </w:p>
    <w:p w:rsidR="00DB713B" w:rsidRPr="001E19A3" w:rsidRDefault="00DB713B" w:rsidP="001E19A3">
      <w:pPr>
        <w:jc w:val="center"/>
        <w:rPr>
          <w:sz w:val="32"/>
          <w:szCs w:val="32"/>
          <w:lang w:val="en-GB"/>
        </w:rPr>
      </w:pPr>
      <w:bookmarkStart w:id="4" w:name="_Toc460405816"/>
      <w:bookmarkStart w:id="5" w:name="_Toc460413676"/>
      <w:bookmarkStart w:id="6" w:name="_Toc460413875"/>
      <w:bookmarkStart w:id="7" w:name="_Toc463001289"/>
      <w:r w:rsidRPr="001E19A3">
        <w:rPr>
          <w:sz w:val="32"/>
          <w:szCs w:val="32"/>
          <w:lang w:val="en-GB"/>
        </w:rPr>
        <w:t>Research Infrastructures</w:t>
      </w:r>
      <w:bookmarkEnd w:id="4"/>
      <w:bookmarkEnd w:id="5"/>
      <w:bookmarkEnd w:id="6"/>
      <w:bookmarkEnd w:id="7"/>
    </w:p>
    <w:p w:rsidR="00DB713B" w:rsidRPr="001E19A3" w:rsidRDefault="00DB713B" w:rsidP="001E19A3">
      <w:pPr>
        <w:jc w:val="center"/>
        <w:rPr>
          <w:sz w:val="32"/>
          <w:szCs w:val="32"/>
          <w:lang w:val="en-GB"/>
        </w:rPr>
      </w:pPr>
    </w:p>
    <w:p w:rsidR="00DB713B" w:rsidRPr="001E19A3" w:rsidRDefault="00DB713B" w:rsidP="001E19A3">
      <w:pPr>
        <w:jc w:val="center"/>
        <w:rPr>
          <w:sz w:val="32"/>
          <w:szCs w:val="32"/>
          <w:lang w:val="en-GB"/>
        </w:rPr>
      </w:pPr>
      <w:bookmarkStart w:id="8" w:name="_Toc460405817"/>
      <w:bookmarkStart w:id="9" w:name="_Toc460413677"/>
      <w:bookmarkStart w:id="10" w:name="_Toc460413876"/>
      <w:bookmarkStart w:id="11" w:name="_Toc463001290"/>
      <w:r w:rsidRPr="001E19A3">
        <w:rPr>
          <w:sz w:val="32"/>
          <w:szCs w:val="32"/>
          <w:lang w:val="en-GB"/>
        </w:rPr>
        <w:t>H2020-INFRA</w:t>
      </w:r>
      <w:r w:rsidR="001366A2">
        <w:rPr>
          <w:sz w:val="32"/>
          <w:szCs w:val="32"/>
          <w:lang w:val="en-GB"/>
        </w:rPr>
        <w:t>DEV</w:t>
      </w:r>
      <w:r w:rsidRPr="001E19A3">
        <w:rPr>
          <w:sz w:val="32"/>
          <w:szCs w:val="32"/>
          <w:lang w:val="en-GB"/>
        </w:rPr>
        <w:t>-201</w:t>
      </w:r>
      <w:bookmarkEnd w:id="8"/>
      <w:bookmarkEnd w:id="9"/>
      <w:bookmarkEnd w:id="10"/>
      <w:bookmarkEnd w:id="11"/>
      <w:r w:rsidR="001366A2">
        <w:rPr>
          <w:sz w:val="32"/>
          <w:szCs w:val="32"/>
          <w:lang w:val="en-GB"/>
        </w:rPr>
        <w:t>6-1</w:t>
      </w:r>
    </w:p>
    <w:p w:rsidR="00DB713B" w:rsidRPr="001E19A3" w:rsidRDefault="001366A2" w:rsidP="001E19A3">
      <w:pPr>
        <w:jc w:val="center"/>
        <w:rPr>
          <w:sz w:val="32"/>
          <w:szCs w:val="32"/>
          <w:lang w:val="en-GB"/>
        </w:rPr>
      </w:pPr>
      <w:r>
        <w:rPr>
          <w:sz w:val="32"/>
          <w:szCs w:val="32"/>
          <w:lang w:val="en-GB"/>
        </w:rPr>
        <w:t>INDIVIDUAL SUPPORT TO ESFRI AND OTHER WORLD-CLASS RESEARCH INFRASTRUCTURES</w:t>
      </w:r>
    </w:p>
    <w:p w:rsidR="00DB713B" w:rsidRPr="001E19A3" w:rsidRDefault="00DB713B" w:rsidP="001E19A3">
      <w:pPr>
        <w:jc w:val="center"/>
        <w:rPr>
          <w:sz w:val="32"/>
          <w:szCs w:val="32"/>
          <w:lang w:val="en-GB"/>
        </w:rPr>
      </w:pPr>
    </w:p>
    <w:p w:rsidR="00A85111" w:rsidRDefault="00A85111" w:rsidP="00DB713B">
      <w:pPr>
        <w:spacing w:after="0"/>
        <w:rPr>
          <w:lang w:val="en-GB"/>
        </w:rPr>
      </w:pPr>
    </w:p>
    <w:p w:rsidR="00A85111" w:rsidRDefault="00A85111" w:rsidP="00A85111">
      <w:pPr>
        <w:spacing w:after="0"/>
        <w:jc w:val="center"/>
        <w:rPr>
          <w:lang w:val="en-GB"/>
        </w:rPr>
      </w:pPr>
      <w:r>
        <w:rPr>
          <w:noProof/>
          <w:lang w:val="de-DE" w:eastAsia="de-DE" w:bidi="ar-SA"/>
        </w:rPr>
        <w:drawing>
          <wp:inline distT="0" distB="0" distL="0" distR="0">
            <wp:extent cx="2161018" cy="1440000"/>
            <wp:effectExtent l="19050" t="0" r="0" b="0"/>
            <wp:docPr id="6" name="Image 5" descr="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yellow_high.jpg"/>
                    <pic:cNvPicPr/>
                  </pic:nvPicPr>
                  <pic:blipFill>
                    <a:blip r:embed="rId8" cstate="print"/>
                    <a:stretch>
                      <a:fillRect/>
                    </a:stretch>
                  </pic:blipFill>
                  <pic:spPr>
                    <a:xfrm>
                      <a:off x="0" y="0"/>
                      <a:ext cx="2161018" cy="1440000"/>
                    </a:xfrm>
                    <a:prstGeom prst="rect">
                      <a:avLst/>
                    </a:prstGeom>
                  </pic:spPr>
                </pic:pic>
              </a:graphicData>
            </a:graphic>
          </wp:inline>
        </w:drawing>
      </w:r>
    </w:p>
    <w:p w:rsidR="00A85111" w:rsidRDefault="00A85111" w:rsidP="00DB713B">
      <w:pPr>
        <w:spacing w:after="0"/>
        <w:rPr>
          <w:lang w:val="en-GB"/>
        </w:rPr>
      </w:pPr>
    </w:p>
    <w:p w:rsidR="00A85111" w:rsidRDefault="00A85111" w:rsidP="00286AF0">
      <w:pPr>
        <w:spacing w:after="0"/>
        <w:rPr>
          <w:lang w:val="en-GB"/>
        </w:rPr>
      </w:pPr>
    </w:p>
    <w:p w:rsidR="00DB713B" w:rsidRPr="001E19A3" w:rsidRDefault="001366A2" w:rsidP="00286AF0">
      <w:pPr>
        <w:spacing w:after="0"/>
        <w:jc w:val="center"/>
        <w:rPr>
          <w:sz w:val="32"/>
          <w:szCs w:val="32"/>
          <w:lang w:val="en-GB"/>
        </w:rPr>
      </w:pPr>
      <w:r>
        <w:rPr>
          <w:sz w:val="32"/>
          <w:szCs w:val="32"/>
          <w:lang w:val="en-GB"/>
        </w:rPr>
        <w:t>IDEAAL</w:t>
      </w:r>
    </w:p>
    <w:p w:rsidR="00DB713B" w:rsidRPr="001E19A3" w:rsidRDefault="001366A2" w:rsidP="00286AF0">
      <w:pPr>
        <w:spacing w:after="0"/>
        <w:jc w:val="center"/>
        <w:rPr>
          <w:sz w:val="32"/>
          <w:szCs w:val="32"/>
          <w:lang w:val="en-GB"/>
        </w:rPr>
      </w:pPr>
      <w:r>
        <w:rPr>
          <w:sz w:val="32"/>
          <w:szCs w:val="32"/>
          <w:lang w:val="en-GB"/>
        </w:rPr>
        <w:t>International Development of gAnil-spirAL2</w:t>
      </w:r>
    </w:p>
    <w:p w:rsidR="00DB713B" w:rsidRPr="001E19A3" w:rsidRDefault="00DB713B" w:rsidP="00286AF0">
      <w:pPr>
        <w:spacing w:after="0"/>
        <w:jc w:val="center"/>
        <w:rPr>
          <w:sz w:val="32"/>
          <w:szCs w:val="32"/>
          <w:lang w:val="en-GB"/>
        </w:rPr>
      </w:pPr>
      <w:bookmarkStart w:id="12" w:name="_Toc460405821"/>
      <w:bookmarkStart w:id="13" w:name="_Toc460413681"/>
      <w:bookmarkStart w:id="14" w:name="_Toc460413880"/>
      <w:bookmarkStart w:id="15" w:name="_Toc463001294"/>
      <w:r w:rsidRPr="001E19A3">
        <w:rPr>
          <w:sz w:val="32"/>
          <w:szCs w:val="32"/>
          <w:lang w:val="en-GB"/>
        </w:rPr>
        <w:t xml:space="preserve">Grant Agreement Number: </w:t>
      </w:r>
      <w:bookmarkEnd w:id="12"/>
      <w:bookmarkEnd w:id="13"/>
      <w:bookmarkEnd w:id="14"/>
      <w:bookmarkEnd w:id="15"/>
      <w:r w:rsidR="001366A2">
        <w:rPr>
          <w:sz w:val="32"/>
          <w:szCs w:val="32"/>
          <w:lang w:val="en-GB"/>
        </w:rPr>
        <w:t>730989</w:t>
      </w:r>
    </w:p>
    <w:p w:rsidR="00DB713B" w:rsidRPr="001E19A3" w:rsidRDefault="00DB713B" w:rsidP="001E19A3">
      <w:pPr>
        <w:jc w:val="center"/>
        <w:rPr>
          <w:b/>
          <w:bCs/>
          <w:color w:val="345A8A" w:themeColor="accent1" w:themeShade="B5"/>
          <w:sz w:val="32"/>
          <w:szCs w:val="32"/>
          <w:lang w:val="en-GB"/>
        </w:rPr>
      </w:pPr>
    </w:p>
    <w:p w:rsidR="00A44BE1" w:rsidRPr="001E19A3" w:rsidRDefault="009E0F8A" w:rsidP="001E19A3">
      <w:pPr>
        <w:jc w:val="center"/>
        <w:rPr>
          <w:sz w:val="32"/>
          <w:szCs w:val="32"/>
          <w:lang w:val="en-GB"/>
        </w:rPr>
      </w:pPr>
      <w:bookmarkStart w:id="16" w:name="_Toc460405822"/>
      <w:bookmarkStart w:id="17" w:name="_Toc460413682"/>
      <w:bookmarkStart w:id="18" w:name="_Toc460413881"/>
      <w:bookmarkStart w:id="19" w:name="_Toc463001295"/>
      <w:r>
        <w:rPr>
          <w:sz w:val="32"/>
          <w:szCs w:val="32"/>
          <w:lang w:val="en-GB"/>
        </w:rPr>
        <w:t>D2.3</w:t>
      </w:r>
      <w:r w:rsidR="00C30A3A" w:rsidRPr="001E19A3">
        <w:rPr>
          <w:sz w:val="32"/>
          <w:szCs w:val="32"/>
          <w:lang w:val="en-GB"/>
        </w:rPr>
        <w:t xml:space="preserve"> </w:t>
      </w:r>
      <w:r>
        <w:rPr>
          <w:sz w:val="32"/>
          <w:szCs w:val="32"/>
          <w:lang w:val="en-GB"/>
        </w:rPr>
        <w:t>–</w:t>
      </w:r>
      <w:r w:rsidR="00DB713B" w:rsidRPr="001E19A3">
        <w:rPr>
          <w:sz w:val="32"/>
          <w:szCs w:val="32"/>
          <w:lang w:val="en-GB"/>
        </w:rPr>
        <w:t xml:space="preserve"> </w:t>
      </w:r>
      <w:bookmarkEnd w:id="16"/>
      <w:bookmarkEnd w:id="17"/>
      <w:bookmarkEnd w:id="18"/>
      <w:bookmarkEnd w:id="19"/>
      <w:r>
        <w:rPr>
          <w:sz w:val="32"/>
          <w:szCs w:val="32"/>
          <w:lang w:val="en-GB"/>
        </w:rPr>
        <w:t>Procedure of evaluation of in-kind contributions and their monitoring</w:t>
      </w:r>
    </w:p>
    <w:p w:rsidR="00A85111" w:rsidRDefault="00A85111" w:rsidP="00A85111">
      <w:pPr>
        <w:rPr>
          <w:lang w:val="en-GB"/>
        </w:rPr>
      </w:pPr>
    </w:p>
    <w:p w:rsidR="00AE29C3" w:rsidRDefault="00C30A3A" w:rsidP="00F2433B">
      <w:pPr>
        <w:pStyle w:val="KeinLeerraum"/>
        <w:rPr>
          <w:rFonts w:asciiTheme="minorHAnsi" w:hAnsiTheme="minorHAnsi"/>
          <w:lang w:val="en-GB"/>
        </w:rPr>
      </w:pPr>
      <w:r>
        <w:rPr>
          <w:rFonts w:asciiTheme="minorHAnsi" w:hAnsiTheme="minorHAnsi"/>
          <w:lang w:val="en-GB"/>
        </w:rPr>
        <w:t xml:space="preserve">Version: </w:t>
      </w:r>
      <w:r w:rsidR="00AE29C3">
        <w:rPr>
          <w:rFonts w:asciiTheme="minorHAnsi" w:hAnsiTheme="minorHAnsi"/>
          <w:lang w:val="en-GB"/>
        </w:rPr>
        <w:t>09</w:t>
      </w:r>
    </w:p>
    <w:p w:rsidR="00F46286" w:rsidRPr="00F2433B" w:rsidRDefault="00F46286" w:rsidP="00F2433B">
      <w:pPr>
        <w:pStyle w:val="KeinLeerraum"/>
        <w:rPr>
          <w:rFonts w:asciiTheme="minorHAnsi" w:hAnsiTheme="minorHAnsi"/>
          <w:lang w:val="en-GB"/>
        </w:rPr>
      </w:pPr>
      <w:bookmarkStart w:id="20" w:name="_GoBack"/>
      <w:bookmarkEnd w:id="20"/>
      <w:r w:rsidRPr="00F2433B">
        <w:rPr>
          <w:rFonts w:asciiTheme="minorHAnsi" w:hAnsiTheme="minorHAnsi"/>
          <w:lang w:val="en-GB"/>
        </w:rPr>
        <w:t>Author</w:t>
      </w:r>
      <w:r w:rsidR="00C77CAD">
        <w:rPr>
          <w:rFonts w:asciiTheme="minorHAnsi" w:hAnsiTheme="minorHAnsi"/>
          <w:lang w:val="en-GB"/>
        </w:rPr>
        <w:t>s</w:t>
      </w:r>
      <w:r w:rsidRPr="00F2433B">
        <w:rPr>
          <w:rFonts w:asciiTheme="minorHAnsi" w:hAnsiTheme="minorHAnsi"/>
          <w:lang w:val="en-GB"/>
        </w:rPr>
        <w:t>:</w:t>
      </w:r>
      <w:r w:rsidR="00F2433B" w:rsidRPr="00F2433B">
        <w:rPr>
          <w:rFonts w:asciiTheme="minorHAnsi" w:hAnsiTheme="minorHAnsi"/>
          <w:lang w:val="en-GB"/>
        </w:rPr>
        <w:t xml:space="preserve"> </w:t>
      </w:r>
      <w:r w:rsidR="009E0F8A">
        <w:rPr>
          <w:rFonts w:asciiTheme="minorHAnsi" w:hAnsiTheme="minorHAnsi"/>
          <w:lang w:val="en-GB"/>
        </w:rPr>
        <w:t>Sonia Utermann</w:t>
      </w:r>
      <w:r w:rsidR="00B05407">
        <w:rPr>
          <w:rFonts w:asciiTheme="minorHAnsi" w:hAnsiTheme="minorHAnsi"/>
          <w:lang w:val="en-GB"/>
        </w:rPr>
        <w:t>, Haik Simon and Felix Arndt</w:t>
      </w:r>
    </w:p>
    <w:p w:rsidR="00A85111" w:rsidRDefault="00A85111" w:rsidP="00F2433B">
      <w:pPr>
        <w:pStyle w:val="KeinLeerraum"/>
        <w:rPr>
          <w:rFonts w:asciiTheme="minorHAnsi" w:hAnsiTheme="minorHAnsi"/>
          <w:lang w:val="en-GB"/>
        </w:rPr>
      </w:pPr>
      <w:r w:rsidRPr="00F2433B">
        <w:rPr>
          <w:rFonts w:asciiTheme="minorHAnsi" w:hAnsiTheme="minorHAnsi"/>
          <w:lang w:val="en-GB"/>
        </w:rPr>
        <w:t xml:space="preserve">Date: </w:t>
      </w:r>
      <w:r w:rsidR="001A3AAA">
        <w:rPr>
          <w:rFonts w:asciiTheme="minorHAnsi" w:hAnsiTheme="minorHAnsi"/>
          <w:lang w:val="en-GB"/>
        </w:rPr>
        <w:t>19</w:t>
      </w:r>
      <w:r w:rsidR="00C77CAD" w:rsidRPr="00C77CAD">
        <w:rPr>
          <w:rFonts w:asciiTheme="minorHAnsi" w:hAnsiTheme="minorHAnsi"/>
          <w:vertAlign w:val="superscript"/>
          <w:lang w:val="en-GB"/>
        </w:rPr>
        <w:t>th</w:t>
      </w:r>
      <w:r w:rsidR="00C77CAD">
        <w:rPr>
          <w:rFonts w:asciiTheme="minorHAnsi" w:hAnsiTheme="minorHAnsi"/>
          <w:lang w:val="en-GB"/>
        </w:rPr>
        <w:t xml:space="preserve"> </w:t>
      </w:r>
      <w:r w:rsidR="009E0F8A">
        <w:rPr>
          <w:rFonts w:asciiTheme="minorHAnsi" w:hAnsiTheme="minorHAnsi"/>
          <w:lang w:val="en-GB"/>
        </w:rPr>
        <w:t>December 2018</w:t>
      </w:r>
    </w:p>
    <w:p w:rsidR="003643EA" w:rsidRDefault="003643EA" w:rsidP="00F2433B">
      <w:pPr>
        <w:pStyle w:val="KeinLeerraum"/>
        <w:rPr>
          <w:rFonts w:asciiTheme="minorHAnsi" w:hAnsiTheme="minorHAnsi"/>
          <w:lang w:val="en-GB"/>
        </w:rPr>
      </w:pPr>
    </w:p>
    <w:p w:rsidR="003643EA" w:rsidRPr="00F2433B" w:rsidRDefault="003643EA" w:rsidP="00F2433B">
      <w:pPr>
        <w:pStyle w:val="KeinLeerraum"/>
        <w:rPr>
          <w:rFonts w:asciiTheme="minorHAnsi" w:hAnsiTheme="minorHAnsi"/>
          <w:lang w:val="en-GB"/>
        </w:rPr>
      </w:pPr>
    </w:p>
    <w:p w:rsidR="00882672" w:rsidRPr="001E19A3" w:rsidRDefault="001E19A3" w:rsidP="001E19A3">
      <w:pPr>
        <w:spacing w:after="0"/>
        <w:rPr>
          <w:i/>
          <w:lang w:val="en-GB"/>
        </w:rPr>
      </w:pPr>
      <w:r w:rsidRPr="001E19A3">
        <w:rPr>
          <w:i/>
          <w:lang w:val="en-GB"/>
        </w:rPr>
        <w:lastRenderedPageBreak/>
        <w:t>PROJECT AND DELIVERABLE INFORMATION SHEET</w:t>
      </w:r>
    </w:p>
    <w:tbl>
      <w:tblPr>
        <w:tblStyle w:val="Tabellenraster"/>
        <w:tblW w:w="0" w:type="auto"/>
        <w:tblLook w:val="04A0" w:firstRow="1" w:lastRow="0" w:firstColumn="1" w:lastColumn="0" w:noHBand="0" w:noVBand="1"/>
      </w:tblPr>
      <w:tblGrid>
        <w:gridCol w:w="5053"/>
        <w:gridCol w:w="5142"/>
      </w:tblGrid>
      <w:tr w:rsidR="00882672" w:rsidRPr="00F2433B" w:rsidTr="00F2433B">
        <w:tc>
          <w:tcPr>
            <w:tcW w:w="5456" w:type="dxa"/>
          </w:tcPr>
          <w:p w:rsidR="00882672" w:rsidRPr="00F2433B" w:rsidRDefault="00E46775" w:rsidP="00F2433B">
            <w:pPr>
              <w:pStyle w:val="KeinLeerraum"/>
            </w:pPr>
            <w:r>
              <w:t>IDEAAL</w:t>
            </w:r>
            <w:r w:rsidR="00882672" w:rsidRPr="00F2433B">
              <w:t xml:space="preserve"> Project Ref. №</w:t>
            </w:r>
          </w:p>
        </w:tc>
        <w:tc>
          <w:tcPr>
            <w:tcW w:w="5457" w:type="dxa"/>
          </w:tcPr>
          <w:p w:rsidR="00882672" w:rsidRPr="00F2433B" w:rsidRDefault="001366A2" w:rsidP="00F2433B">
            <w:pPr>
              <w:pStyle w:val="KeinLeerraum"/>
            </w:pPr>
            <w:r>
              <w:t>730989</w:t>
            </w:r>
          </w:p>
        </w:tc>
      </w:tr>
      <w:tr w:rsidR="00882672" w:rsidRPr="00F2433B" w:rsidTr="00F2433B">
        <w:tc>
          <w:tcPr>
            <w:tcW w:w="5456" w:type="dxa"/>
          </w:tcPr>
          <w:p w:rsidR="00882672" w:rsidRPr="00F2433B" w:rsidRDefault="00882672" w:rsidP="00F2433B">
            <w:pPr>
              <w:pStyle w:val="KeinLeerraum"/>
            </w:pPr>
            <w:r w:rsidRPr="00F2433B">
              <w:t>Project Title</w:t>
            </w:r>
          </w:p>
        </w:tc>
        <w:tc>
          <w:tcPr>
            <w:tcW w:w="5457" w:type="dxa"/>
          </w:tcPr>
          <w:p w:rsidR="00882672" w:rsidRPr="00F2433B" w:rsidRDefault="001366A2" w:rsidP="00F2433B">
            <w:pPr>
              <w:pStyle w:val="KeinLeerraum"/>
            </w:pPr>
            <w:r>
              <w:t>International DEvelopment of gAnil-spirAL2</w:t>
            </w:r>
          </w:p>
        </w:tc>
      </w:tr>
      <w:tr w:rsidR="00882672" w:rsidRPr="00F2433B" w:rsidTr="00F2433B">
        <w:tc>
          <w:tcPr>
            <w:tcW w:w="5456" w:type="dxa"/>
          </w:tcPr>
          <w:p w:rsidR="00882672" w:rsidRPr="00F2433B" w:rsidRDefault="00882672" w:rsidP="00F2433B">
            <w:pPr>
              <w:pStyle w:val="KeinLeerraum"/>
            </w:pPr>
            <w:r w:rsidRPr="00F2433B">
              <w:t>Project Web Site</w:t>
            </w:r>
          </w:p>
        </w:tc>
        <w:tc>
          <w:tcPr>
            <w:tcW w:w="5457" w:type="dxa"/>
          </w:tcPr>
          <w:p w:rsidR="00882672" w:rsidRPr="00F2433B" w:rsidRDefault="001366A2" w:rsidP="00F2433B">
            <w:pPr>
              <w:pStyle w:val="KeinLeerraum"/>
            </w:pPr>
            <w:r w:rsidRPr="001366A2">
              <w:t>https://ideaal.ganil-spiral2.eu/</w:t>
            </w:r>
          </w:p>
        </w:tc>
      </w:tr>
      <w:tr w:rsidR="00882672" w:rsidRPr="00F2433B" w:rsidTr="00F2433B">
        <w:tc>
          <w:tcPr>
            <w:tcW w:w="5456" w:type="dxa"/>
          </w:tcPr>
          <w:p w:rsidR="00882672" w:rsidRPr="00F2433B" w:rsidRDefault="00882672" w:rsidP="00F2433B">
            <w:pPr>
              <w:pStyle w:val="KeinLeerraum"/>
            </w:pPr>
            <w:r w:rsidRPr="00F2433B">
              <w:t xml:space="preserve">Deliverable ID </w:t>
            </w:r>
          </w:p>
        </w:tc>
        <w:tc>
          <w:tcPr>
            <w:tcW w:w="5457" w:type="dxa"/>
          </w:tcPr>
          <w:p w:rsidR="00882672" w:rsidRPr="00F2433B" w:rsidRDefault="003643EA" w:rsidP="00F2433B">
            <w:pPr>
              <w:pStyle w:val="KeinLeerraum"/>
            </w:pPr>
            <w:r>
              <w:t>D2.3</w:t>
            </w:r>
          </w:p>
        </w:tc>
      </w:tr>
      <w:tr w:rsidR="00882672" w:rsidRPr="00F2433B" w:rsidTr="00F2433B">
        <w:tc>
          <w:tcPr>
            <w:tcW w:w="5456" w:type="dxa"/>
          </w:tcPr>
          <w:p w:rsidR="00882672" w:rsidRPr="00F2433B" w:rsidRDefault="00882672" w:rsidP="00F2433B">
            <w:pPr>
              <w:pStyle w:val="KeinLeerraum"/>
            </w:pPr>
            <w:r w:rsidRPr="00F2433B">
              <w:t>Deliverable Nature</w:t>
            </w:r>
          </w:p>
        </w:tc>
        <w:tc>
          <w:tcPr>
            <w:tcW w:w="5457" w:type="dxa"/>
          </w:tcPr>
          <w:p w:rsidR="00882672" w:rsidRPr="00F2433B" w:rsidRDefault="003643EA" w:rsidP="00F2433B">
            <w:pPr>
              <w:pStyle w:val="KeinLeerraum"/>
            </w:pPr>
            <w:r w:rsidRPr="003643EA">
              <w:rPr>
                <w:highlight w:val="yellow"/>
              </w:rPr>
              <w:t>Report of recommendations</w:t>
            </w:r>
          </w:p>
        </w:tc>
      </w:tr>
      <w:tr w:rsidR="00882672" w:rsidRPr="00F2433B" w:rsidTr="00F2433B">
        <w:tc>
          <w:tcPr>
            <w:tcW w:w="5456" w:type="dxa"/>
          </w:tcPr>
          <w:p w:rsidR="00882672" w:rsidRPr="00F2433B" w:rsidRDefault="00882672" w:rsidP="00F2433B">
            <w:pPr>
              <w:pStyle w:val="KeinLeerraum"/>
            </w:pPr>
            <w:r w:rsidRPr="00F2433B">
              <w:t>Deliverable Level</w:t>
            </w:r>
            <w:r w:rsidR="00C30A3A">
              <w:t>*</w:t>
            </w:r>
          </w:p>
        </w:tc>
        <w:tc>
          <w:tcPr>
            <w:tcW w:w="5457" w:type="dxa"/>
          </w:tcPr>
          <w:p w:rsidR="00882672" w:rsidRPr="00F2433B" w:rsidRDefault="003643EA" w:rsidP="00F2433B">
            <w:pPr>
              <w:pStyle w:val="KeinLeerraum"/>
            </w:pPr>
            <w:r w:rsidRPr="003643EA">
              <w:rPr>
                <w:highlight w:val="yellow"/>
              </w:rPr>
              <w:t>xx</w:t>
            </w:r>
          </w:p>
        </w:tc>
      </w:tr>
      <w:tr w:rsidR="00882672" w:rsidRPr="00F2433B" w:rsidTr="00F2433B">
        <w:tc>
          <w:tcPr>
            <w:tcW w:w="5456" w:type="dxa"/>
          </w:tcPr>
          <w:p w:rsidR="00882672" w:rsidRPr="00F2433B" w:rsidRDefault="00CE682E" w:rsidP="00F2433B">
            <w:pPr>
              <w:pStyle w:val="KeinLeerraum"/>
            </w:pPr>
            <w:r w:rsidRPr="00F2433B">
              <w:t>Contractual Date of Delivery</w:t>
            </w:r>
          </w:p>
        </w:tc>
        <w:tc>
          <w:tcPr>
            <w:tcW w:w="5457" w:type="dxa"/>
          </w:tcPr>
          <w:p w:rsidR="00882672" w:rsidRPr="00F2433B" w:rsidRDefault="003643EA" w:rsidP="00F2433B">
            <w:pPr>
              <w:pStyle w:val="KeinLeerraum"/>
            </w:pPr>
            <w:r>
              <w:t>31.12.2018</w:t>
            </w:r>
          </w:p>
        </w:tc>
      </w:tr>
      <w:tr w:rsidR="00882672" w:rsidRPr="00F2433B" w:rsidTr="00F2433B">
        <w:tc>
          <w:tcPr>
            <w:tcW w:w="5456" w:type="dxa"/>
          </w:tcPr>
          <w:p w:rsidR="00882672" w:rsidRPr="00F2433B" w:rsidRDefault="00CE682E" w:rsidP="00F2433B">
            <w:pPr>
              <w:pStyle w:val="KeinLeerraum"/>
            </w:pPr>
            <w:r w:rsidRPr="00F2433B">
              <w:t>Actual Date of Delivery</w:t>
            </w:r>
          </w:p>
        </w:tc>
        <w:tc>
          <w:tcPr>
            <w:tcW w:w="5457" w:type="dxa"/>
          </w:tcPr>
          <w:p w:rsidR="00882672" w:rsidRPr="00F2433B" w:rsidRDefault="003643EA" w:rsidP="00F2433B">
            <w:pPr>
              <w:pStyle w:val="KeinLeerraum"/>
            </w:pPr>
            <w:r w:rsidRPr="003643EA">
              <w:rPr>
                <w:highlight w:val="yellow"/>
              </w:rPr>
              <w:t>xxx</w:t>
            </w:r>
          </w:p>
        </w:tc>
      </w:tr>
      <w:tr w:rsidR="00CE682E" w:rsidRPr="00F2433B" w:rsidTr="00F2433B">
        <w:tc>
          <w:tcPr>
            <w:tcW w:w="5456" w:type="dxa"/>
          </w:tcPr>
          <w:p w:rsidR="00CE682E" w:rsidRPr="00F2433B" w:rsidRDefault="00CE682E" w:rsidP="00F2433B">
            <w:pPr>
              <w:pStyle w:val="KeinLeerraum"/>
            </w:pPr>
            <w:r w:rsidRPr="00F2433B">
              <w:t>EC Project Officer</w:t>
            </w:r>
          </w:p>
        </w:tc>
        <w:tc>
          <w:tcPr>
            <w:tcW w:w="5457" w:type="dxa"/>
          </w:tcPr>
          <w:p w:rsidR="00CE682E" w:rsidRPr="00F2433B" w:rsidRDefault="003643EA" w:rsidP="00F2433B">
            <w:pPr>
              <w:pStyle w:val="KeinLeerraum"/>
            </w:pPr>
            <w:r w:rsidRPr="003643EA">
              <w:rPr>
                <w:highlight w:val="yellow"/>
              </w:rPr>
              <w:t>Darko xxx</w:t>
            </w:r>
          </w:p>
        </w:tc>
      </w:tr>
    </w:tbl>
    <w:p w:rsidR="00CE682E" w:rsidRDefault="00CE682E" w:rsidP="00CE682E">
      <w:pPr>
        <w:pStyle w:val="KeinLeerraum"/>
        <w:jc w:val="both"/>
        <w:rPr>
          <w:lang w:val="en-GB"/>
        </w:rPr>
      </w:pPr>
    </w:p>
    <w:p w:rsidR="00882672" w:rsidRPr="00F2433B" w:rsidRDefault="00CE682E" w:rsidP="00CE682E">
      <w:pPr>
        <w:pStyle w:val="KeinLeerraum"/>
        <w:jc w:val="both"/>
        <w:rPr>
          <w:rFonts w:asciiTheme="minorHAnsi" w:hAnsiTheme="minorHAnsi"/>
        </w:rPr>
      </w:pPr>
      <w:r>
        <w:rPr>
          <w:lang w:val="en-GB"/>
        </w:rPr>
        <w:t>*</w:t>
      </w:r>
      <w:r w:rsidRPr="00F2433B">
        <w:rPr>
          <w:rFonts w:asciiTheme="minorHAnsi" w:hAnsiTheme="minorHAnsi"/>
        </w:rPr>
        <w:t xml:space="preserve"> </w:t>
      </w:r>
      <w:r w:rsidR="00882672" w:rsidRPr="00F2433B">
        <w:rPr>
          <w:rFonts w:asciiTheme="minorHAnsi" w:hAnsiTheme="minorHAnsi"/>
        </w:rPr>
        <w:t>The dissemination level are indicated as follows: PU – Public, PP – Restricted to other participants</w:t>
      </w:r>
      <w:r w:rsidRPr="00F2433B">
        <w:rPr>
          <w:rFonts w:asciiTheme="minorHAnsi" w:hAnsiTheme="minorHAnsi"/>
        </w:rPr>
        <w:t xml:space="preserve"> </w:t>
      </w:r>
      <w:r w:rsidR="00882672" w:rsidRPr="00F2433B">
        <w:rPr>
          <w:rFonts w:asciiTheme="minorHAnsi" w:hAnsiTheme="minorHAnsi"/>
        </w:rPr>
        <w:t>(including the Commission Services), RE – Restricted to a group specified by the consortium (including the</w:t>
      </w:r>
      <w:r w:rsidRPr="00F2433B">
        <w:rPr>
          <w:rFonts w:asciiTheme="minorHAnsi" w:hAnsiTheme="minorHAnsi"/>
        </w:rPr>
        <w:t xml:space="preserve"> </w:t>
      </w:r>
      <w:r w:rsidR="00882672" w:rsidRPr="00F2433B">
        <w:rPr>
          <w:rFonts w:asciiTheme="minorHAnsi" w:hAnsiTheme="minorHAnsi"/>
        </w:rPr>
        <w:t>Commission Services). CO – Confidential, only for members of the consortium (including the Commission</w:t>
      </w:r>
      <w:r w:rsidRPr="00F2433B">
        <w:rPr>
          <w:rFonts w:asciiTheme="minorHAnsi" w:hAnsiTheme="minorHAnsi"/>
        </w:rPr>
        <w:t xml:space="preserve"> </w:t>
      </w:r>
      <w:r w:rsidR="00882672" w:rsidRPr="00F2433B">
        <w:rPr>
          <w:rFonts w:asciiTheme="minorHAnsi" w:hAnsiTheme="minorHAnsi"/>
        </w:rPr>
        <w:t>Services).</w:t>
      </w:r>
    </w:p>
    <w:p w:rsidR="00CE682E" w:rsidRDefault="00CE682E" w:rsidP="00882672">
      <w:pPr>
        <w:rPr>
          <w:lang w:val="en-GB"/>
        </w:rPr>
      </w:pPr>
    </w:p>
    <w:p w:rsidR="00882672" w:rsidRPr="001E19A3" w:rsidRDefault="001E19A3" w:rsidP="001E19A3">
      <w:pPr>
        <w:spacing w:after="0"/>
        <w:rPr>
          <w:i/>
          <w:lang w:val="en-GB"/>
        </w:rPr>
      </w:pPr>
      <w:r w:rsidRPr="001E19A3">
        <w:rPr>
          <w:i/>
          <w:lang w:val="en-GB"/>
        </w:rPr>
        <w:t>DOCUMENT CONTROL SHEET</w:t>
      </w:r>
    </w:p>
    <w:tbl>
      <w:tblPr>
        <w:tblStyle w:val="Tabellenraster"/>
        <w:tblW w:w="0" w:type="auto"/>
        <w:tblLook w:val="04A0" w:firstRow="1" w:lastRow="0" w:firstColumn="1" w:lastColumn="0" w:noHBand="0" w:noVBand="1"/>
      </w:tblPr>
      <w:tblGrid>
        <w:gridCol w:w="3394"/>
        <w:gridCol w:w="2083"/>
        <w:gridCol w:w="4718"/>
      </w:tblGrid>
      <w:tr w:rsidR="00F2433B" w:rsidRPr="00F2433B" w:rsidTr="00F2433B">
        <w:tc>
          <w:tcPr>
            <w:tcW w:w="3637" w:type="dxa"/>
            <w:vMerge w:val="restart"/>
          </w:tcPr>
          <w:p w:rsidR="00F2433B" w:rsidRPr="00F2433B" w:rsidRDefault="00F2433B" w:rsidP="00F2433B">
            <w:pPr>
              <w:pStyle w:val="KeinLeerraum"/>
            </w:pPr>
            <w:r w:rsidRPr="00F2433B">
              <w:t>Document</w:t>
            </w:r>
          </w:p>
        </w:tc>
        <w:tc>
          <w:tcPr>
            <w:tcW w:w="7276" w:type="dxa"/>
            <w:gridSpan w:val="2"/>
          </w:tcPr>
          <w:p w:rsidR="00F2433B" w:rsidRPr="00F2433B" w:rsidRDefault="00F2433B" w:rsidP="00C30A3A">
            <w:pPr>
              <w:pStyle w:val="KeinLeerraum"/>
            </w:pPr>
            <w:r w:rsidRPr="00F2433B">
              <w:t xml:space="preserve">Title: </w:t>
            </w:r>
            <w:r w:rsidR="003643EA" w:rsidRPr="003643EA">
              <w:rPr>
                <w:lang w:val="en-GB"/>
              </w:rPr>
              <w:t>Procedure of evaluation of in-kind contributions and their monitoring</w:t>
            </w:r>
          </w:p>
        </w:tc>
      </w:tr>
      <w:tr w:rsidR="00F2433B" w:rsidRPr="00F2433B" w:rsidTr="00F2433B">
        <w:tc>
          <w:tcPr>
            <w:tcW w:w="3637" w:type="dxa"/>
            <w:vMerge/>
          </w:tcPr>
          <w:p w:rsidR="00F2433B" w:rsidRPr="00F2433B" w:rsidRDefault="00F2433B" w:rsidP="00F2433B">
            <w:pPr>
              <w:pStyle w:val="KeinLeerraum"/>
            </w:pPr>
          </w:p>
        </w:tc>
        <w:tc>
          <w:tcPr>
            <w:tcW w:w="7276" w:type="dxa"/>
            <w:gridSpan w:val="2"/>
          </w:tcPr>
          <w:p w:rsidR="00F2433B" w:rsidRPr="00F2433B" w:rsidRDefault="00F2433B" w:rsidP="00F2433B">
            <w:pPr>
              <w:pStyle w:val="KeinLeerraum"/>
            </w:pPr>
            <w:r w:rsidRPr="00F2433B">
              <w:t>ID:</w:t>
            </w:r>
            <w:r w:rsidR="003643EA">
              <w:t xml:space="preserve"> D2.3</w:t>
            </w:r>
          </w:p>
        </w:tc>
      </w:tr>
      <w:tr w:rsidR="00F2433B" w:rsidRPr="00F2433B" w:rsidTr="00F2433B">
        <w:tc>
          <w:tcPr>
            <w:tcW w:w="3637" w:type="dxa"/>
            <w:vMerge/>
          </w:tcPr>
          <w:p w:rsidR="00F2433B" w:rsidRPr="00F2433B" w:rsidRDefault="00F2433B" w:rsidP="00F2433B">
            <w:pPr>
              <w:pStyle w:val="KeinLeerraum"/>
            </w:pPr>
          </w:p>
        </w:tc>
        <w:tc>
          <w:tcPr>
            <w:tcW w:w="7276" w:type="dxa"/>
            <w:gridSpan w:val="2"/>
          </w:tcPr>
          <w:p w:rsidR="00F2433B" w:rsidRPr="00F2433B" w:rsidRDefault="00F2433B" w:rsidP="00F2433B">
            <w:pPr>
              <w:pStyle w:val="KeinLeerraum"/>
            </w:pPr>
            <w:r w:rsidRPr="00F2433B">
              <w:t>Version</w:t>
            </w:r>
            <w:r w:rsidR="003643EA">
              <w:t xml:space="preserve"> </w:t>
            </w:r>
            <w:r w:rsidR="00AE29C3">
              <w:rPr>
                <w:highlight w:val="yellow"/>
              </w:rPr>
              <w:t>09</w:t>
            </w:r>
          </w:p>
        </w:tc>
      </w:tr>
      <w:tr w:rsidR="00F2433B" w:rsidRPr="00F2433B" w:rsidTr="00F2433B">
        <w:tc>
          <w:tcPr>
            <w:tcW w:w="3637" w:type="dxa"/>
            <w:vMerge/>
          </w:tcPr>
          <w:p w:rsidR="00F2433B" w:rsidRPr="00F2433B" w:rsidRDefault="00F2433B" w:rsidP="00F2433B">
            <w:pPr>
              <w:pStyle w:val="KeinLeerraum"/>
            </w:pPr>
          </w:p>
        </w:tc>
        <w:tc>
          <w:tcPr>
            <w:tcW w:w="7276" w:type="dxa"/>
            <w:gridSpan w:val="2"/>
          </w:tcPr>
          <w:p w:rsidR="00F2433B" w:rsidRPr="00F2433B" w:rsidRDefault="00F2433B" w:rsidP="00F2433B">
            <w:pPr>
              <w:pStyle w:val="KeinLeerraum"/>
            </w:pPr>
            <w:r w:rsidRPr="00F2433B">
              <w:t xml:space="preserve">Available at: </w:t>
            </w:r>
            <w:r w:rsidR="001366A2" w:rsidRPr="001366A2">
              <w:t>https://ideaal.ganil-spiral2.eu/</w:t>
            </w:r>
          </w:p>
        </w:tc>
      </w:tr>
      <w:tr w:rsidR="00F2433B" w:rsidRPr="00F2433B" w:rsidTr="00F2433B">
        <w:tc>
          <w:tcPr>
            <w:tcW w:w="3637" w:type="dxa"/>
            <w:vMerge/>
          </w:tcPr>
          <w:p w:rsidR="00F2433B" w:rsidRPr="00F2433B" w:rsidRDefault="00F2433B" w:rsidP="00F2433B">
            <w:pPr>
              <w:pStyle w:val="KeinLeerraum"/>
            </w:pPr>
          </w:p>
        </w:tc>
        <w:tc>
          <w:tcPr>
            <w:tcW w:w="7276" w:type="dxa"/>
            <w:gridSpan w:val="2"/>
          </w:tcPr>
          <w:p w:rsidR="00F2433B" w:rsidRPr="00F2433B" w:rsidRDefault="00F2433B" w:rsidP="00F2433B">
            <w:pPr>
              <w:pStyle w:val="KeinLeerraum"/>
            </w:pPr>
            <w:r w:rsidRPr="00F2433B">
              <w:t>Software Tool: Microsoft Office Word 2007</w:t>
            </w:r>
          </w:p>
        </w:tc>
      </w:tr>
      <w:tr w:rsidR="00F2433B" w:rsidRPr="00F2433B" w:rsidTr="00F2433B">
        <w:tc>
          <w:tcPr>
            <w:tcW w:w="3637" w:type="dxa"/>
            <w:vMerge/>
          </w:tcPr>
          <w:p w:rsidR="00F2433B" w:rsidRPr="00F2433B" w:rsidRDefault="00F2433B" w:rsidP="00F2433B">
            <w:pPr>
              <w:pStyle w:val="KeinLeerraum"/>
            </w:pPr>
          </w:p>
        </w:tc>
        <w:tc>
          <w:tcPr>
            <w:tcW w:w="7276" w:type="dxa"/>
            <w:gridSpan w:val="2"/>
          </w:tcPr>
          <w:p w:rsidR="00F2433B" w:rsidRPr="00F2433B" w:rsidRDefault="00F2433B" w:rsidP="00C30A3A">
            <w:pPr>
              <w:pStyle w:val="KeinLeerraum"/>
            </w:pPr>
            <w:r w:rsidRPr="00F2433B">
              <w:t xml:space="preserve">File: </w:t>
            </w:r>
            <w:r w:rsidR="001A3AAA">
              <w:rPr>
                <w:highlight w:val="yellow"/>
              </w:rPr>
              <w:t>D2-3_for_IDEAAL_v08</w:t>
            </w:r>
            <w:r w:rsidR="00B05407">
              <w:rPr>
                <w:highlight w:val="yellow"/>
              </w:rPr>
              <w:t>.docx</w:t>
            </w:r>
          </w:p>
        </w:tc>
      </w:tr>
      <w:tr w:rsidR="00F2433B" w:rsidRPr="00F2433B" w:rsidTr="00F2433B">
        <w:tc>
          <w:tcPr>
            <w:tcW w:w="3637" w:type="dxa"/>
            <w:vMerge w:val="restart"/>
          </w:tcPr>
          <w:p w:rsidR="00F2433B" w:rsidRPr="00F2433B" w:rsidRDefault="00F2433B" w:rsidP="00F2433B">
            <w:pPr>
              <w:pStyle w:val="KeinLeerraum"/>
            </w:pPr>
            <w:r w:rsidRPr="00F2433B">
              <w:t>Authorship</w:t>
            </w:r>
          </w:p>
        </w:tc>
        <w:tc>
          <w:tcPr>
            <w:tcW w:w="2141" w:type="dxa"/>
          </w:tcPr>
          <w:p w:rsidR="00F2433B" w:rsidRPr="00F2433B" w:rsidRDefault="00F2433B" w:rsidP="00F2433B">
            <w:pPr>
              <w:pStyle w:val="KeinLeerraum"/>
            </w:pPr>
            <w:r w:rsidRPr="00F2433B">
              <w:t>Written by:</w:t>
            </w:r>
          </w:p>
        </w:tc>
        <w:tc>
          <w:tcPr>
            <w:tcW w:w="5135" w:type="dxa"/>
          </w:tcPr>
          <w:p w:rsidR="00F2433B" w:rsidRPr="00F2433B" w:rsidRDefault="003643EA" w:rsidP="00F2433B">
            <w:pPr>
              <w:pStyle w:val="KeinLeerraum"/>
            </w:pPr>
            <w:r>
              <w:t>Sonia Utermann</w:t>
            </w:r>
          </w:p>
        </w:tc>
      </w:tr>
      <w:tr w:rsidR="00F2433B" w:rsidRPr="00F2433B" w:rsidTr="00F2433B">
        <w:tc>
          <w:tcPr>
            <w:tcW w:w="3637" w:type="dxa"/>
            <w:vMerge/>
          </w:tcPr>
          <w:p w:rsidR="00F2433B" w:rsidRPr="00F2433B" w:rsidRDefault="00F2433B" w:rsidP="00F2433B">
            <w:pPr>
              <w:pStyle w:val="KeinLeerraum"/>
            </w:pPr>
          </w:p>
        </w:tc>
        <w:tc>
          <w:tcPr>
            <w:tcW w:w="2141" w:type="dxa"/>
          </w:tcPr>
          <w:p w:rsidR="00F2433B" w:rsidRPr="00F2433B" w:rsidRDefault="00F2433B" w:rsidP="00F2433B">
            <w:pPr>
              <w:pStyle w:val="KeinLeerraum"/>
            </w:pPr>
            <w:r w:rsidRPr="00F2433B">
              <w:t xml:space="preserve">Contributors: </w:t>
            </w:r>
          </w:p>
        </w:tc>
        <w:tc>
          <w:tcPr>
            <w:tcW w:w="5135" w:type="dxa"/>
          </w:tcPr>
          <w:p w:rsidR="00F2433B" w:rsidRPr="00F2433B" w:rsidRDefault="003643EA" w:rsidP="00F2433B">
            <w:pPr>
              <w:pStyle w:val="KeinLeerraum"/>
            </w:pPr>
            <w:r>
              <w:t xml:space="preserve">Haik Simon, </w:t>
            </w:r>
            <w:r w:rsidR="00C77CAD">
              <w:t>Felix Arndt</w:t>
            </w:r>
          </w:p>
        </w:tc>
      </w:tr>
      <w:tr w:rsidR="00F2433B" w:rsidRPr="00F2433B" w:rsidTr="00F2433B">
        <w:tc>
          <w:tcPr>
            <w:tcW w:w="3637" w:type="dxa"/>
            <w:vMerge/>
          </w:tcPr>
          <w:p w:rsidR="00F2433B" w:rsidRPr="00F2433B" w:rsidRDefault="00F2433B" w:rsidP="00F2433B">
            <w:pPr>
              <w:pStyle w:val="KeinLeerraum"/>
            </w:pPr>
          </w:p>
        </w:tc>
        <w:tc>
          <w:tcPr>
            <w:tcW w:w="2141" w:type="dxa"/>
          </w:tcPr>
          <w:p w:rsidR="00F2433B" w:rsidRPr="00F2433B" w:rsidRDefault="00F2433B" w:rsidP="00F2433B">
            <w:pPr>
              <w:pStyle w:val="KeinLeerraum"/>
            </w:pPr>
            <w:r w:rsidRPr="00F2433B">
              <w:t xml:space="preserve">Reviewed by: </w:t>
            </w:r>
          </w:p>
        </w:tc>
        <w:tc>
          <w:tcPr>
            <w:tcW w:w="5135" w:type="dxa"/>
          </w:tcPr>
          <w:p w:rsidR="00F2433B" w:rsidRPr="00F2433B" w:rsidRDefault="00C77CAD" w:rsidP="00C77CAD">
            <w:pPr>
              <w:pStyle w:val="KeinLeerraum"/>
            </w:pPr>
            <w:r>
              <w:rPr>
                <w:highlight w:val="yellow"/>
              </w:rPr>
              <w:t xml:space="preserve">David Urner, </w:t>
            </w:r>
            <w:r w:rsidR="003643EA" w:rsidRPr="003643EA">
              <w:rPr>
                <w:highlight w:val="yellow"/>
              </w:rPr>
              <w:t>Laura Peterson, Fanny Farget</w:t>
            </w:r>
          </w:p>
        </w:tc>
      </w:tr>
      <w:tr w:rsidR="00F2433B" w:rsidRPr="00F2433B" w:rsidTr="00F2433B">
        <w:tc>
          <w:tcPr>
            <w:tcW w:w="3637" w:type="dxa"/>
            <w:vMerge/>
          </w:tcPr>
          <w:p w:rsidR="00F2433B" w:rsidRPr="00F2433B" w:rsidRDefault="00F2433B" w:rsidP="00F2433B">
            <w:pPr>
              <w:pStyle w:val="KeinLeerraum"/>
            </w:pPr>
          </w:p>
        </w:tc>
        <w:tc>
          <w:tcPr>
            <w:tcW w:w="2141" w:type="dxa"/>
          </w:tcPr>
          <w:p w:rsidR="00F2433B" w:rsidRPr="00F2433B" w:rsidRDefault="00F2433B" w:rsidP="00F2433B">
            <w:pPr>
              <w:pStyle w:val="KeinLeerraum"/>
            </w:pPr>
            <w:r w:rsidRPr="00F2433B">
              <w:t>Approved by:</w:t>
            </w:r>
          </w:p>
        </w:tc>
        <w:tc>
          <w:tcPr>
            <w:tcW w:w="5135" w:type="dxa"/>
          </w:tcPr>
          <w:p w:rsidR="00F2433B" w:rsidRPr="00F2433B" w:rsidRDefault="003643EA" w:rsidP="00F2433B">
            <w:pPr>
              <w:pStyle w:val="KeinLeerraum"/>
            </w:pPr>
            <w:r w:rsidRPr="003643EA">
              <w:rPr>
                <w:highlight w:val="yellow"/>
              </w:rPr>
              <w:t>xxxx</w:t>
            </w:r>
          </w:p>
        </w:tc>
      </w:tr>
    </w:tbl>
    <w:p w:rsidR="00F2433B" w:rsidRDefault="00F2433B" w:rsidP="00882672">
      <w:pPr>
        <w:rPr>
          <w:lang w:val="en-GB"/>
        </w:rPr>
      </w:pPr>
    </w:p>
    <w:p w:rsidR="00882672" w:rsidRPr="001E19A3" w:rsidRDefault="001E19A3" w:rsidP="001E19A3">
      <w:pPr>
        <w:spacing w:after="0"/>
        <w:rPr>
          <w:i/>
          <w:lang w:val="en-GB"/>
        </w:rPr>
      </w:pPr>
      <w:r w:rsidRPr="001E19A3">
        <w:rPr>
          <w:i/>
          <w:lang w:val="en-GB"/>
        </w:rPr>
        <w:t>DOCUMENT STATUS SHEET</w:t>
      </w:r>
    </w:p>
    <w:tbl>
      <w:tblPr>
        <w:tblStyle w:val="Tabellenraster"/>
        <w:tblW w:w="0" w:type="auto"/>
        <w:tblLook w:val="04A0" w:firstRow="1" w:lastRow="0" w:firstColumn="1" w:lastColumn="0" w:noHBand="0" w:noVBand="1"/>
      </w:tblPr>
      <w:tblGrid>
        <w:gridCol w:w="2509"/>
        <w:gridCol w:w="2556"/>
        <w:gridCol w:w="2553"/>
        <w:gridCol w:w="2577"/>
      </w:tblGrid>
      <w:tr w:rsidR="00F2433B" w:rsidTr="00F2433B">
        <w:tc>
          <w:tcPr>
            <w:tcW w:w="2728" w:type="dxa"/>
          </w:tcPr>
          <w:p w:rsidR="00F2433B" w:rsidRDefault="00F9106B" w:rsidP="00F9106B">
            <w:pPr>
              <w:spacing w:after="0"/>
              <w:rPr>
                <w:lang w:val="en-GB"/>
              </w:rPr>
            </w:pPr>
            <w:r>
              <w:rPr>
                <w:lang w:val="en-GB"/>
              </w:rPr>
              <w:t>Version</w:t>
            </w:r>
          </w:p>
        </w:tc>
        <w:tc>
          <w:tcPr>
            <w:tcW w:w="2728" w:type="dxa"/>
          </w:tcPr>
          <w:p w:rsidR="00F2433B" w:rsidRDefault="00F9106B" w:rsidP="00F9106B">
            <w:pPr>
              <w:spacing w:after="0"/>
              <w:rPr>
                <w:lang w:val="en-GB"/>
              </w:rPr>
            </w:pPr>
            <w:r>
              <w:rPr>
                <w:lang w:val="en-GB"/>
              </w:rPr>
              <w:t>Date</w:t>
            </w:r>
          </w:p>
        </w:tc>
        <w:tc>
          <w:tcPr>
            <w:tcW w:w="2728" w:type="dxa"/>
          </w:tcPr>
          <w:p w:rsidR="00F2433B" w:rsidRDefault="00F9106B" w:rsidP="00F9106B">
            <w:pPr>
              <w:spacing w:after="0"/>
              <w:rPr>
                <w:lang w:val="en-GB"/>
              </w:rPr>
            </w:pPr>
            <w:r>
              <w:rPr>
                <w:lang w:val="en-GB"/>
              </w:rPr>
              <w:t>Status</w:t>
            </w:r>
          </w:p>
        </w:tc>
        <w:tc>
          <w:tcPr>
            <w:tcW w:w="2729" w:type="dxa"/>
          </w:tcPr>
          <w:p w:rsidR="00F2433B" w:rsidRDefault="00F9106B" w:rsidP="00F9106B">
            <w:pPr>
              <w:spacing w:after="0"/>
              <w:rPr>
                <w:lang w:val="en-GB"/>
              </w:rPr>
            </w:pPr>
            <w:r>
              <w:rPr>
                <w:lang w:val="en-GB"/>
              </w:rPr>
              <w:t>Comments</w:t>
            </w:r>
          </w:p>
        </w:tc>
      </w:tr>
      <w:tr w:rsidR="00F2433B" w:rsidTr="00F2433B">
        <w:tc>
          <w:tcPr>
            <w:tcW w:w="2728" w:type="dxa"/>
          </w:tcPr>
          <w:p w:rsidR="00F2433B" w:rsidRDefault="00C77CAD" w:rsidP="00F9106B">
            <w:pPr>
              <w:spacing w:after="0"/>
              <w:rPr>
                <w:lang w:val="en-GB"/>
              </w:rPr>
            </w:pPr>
            <w:r>
              <w:rPr>
                <w:lang w:val="en-GB"/>
              </w:rPr>
              <w:t>04</w:t>
            </w:r>
          </w:p>
        </w:tc>
        <w:tc>
          <w:tcPr>
            <w:tcW w:w="2728" w:type="dxa"/>
          </w:tcPr>
          <w:p w:rsidR="00F2433B" w:rsidRDefault="00C77CAD" w:rsidP="00F9106B">
            <w:pPr>
              <w:spacing w:after="0"/>
              <w:rPr>
                <w:lang w:val="en-GB"/>
              </w:rPr>
            </w:pPr>
            <w:r>
              <w:rPr>
                <w:lang w:val="en-GB"/>
              </w:rPr>
              <w:t>12.12.2018</w:t>
            </w:r>
          </w:p>
        </w:tc>
        <w:tc>
          <w:tcPr>
            <w:tcW w:w="2728" w:type="dxa"/>
          </w:tcPr>
          <w:p w:rsidR="00F2433B" w:rsidRDefault="00F9106B" w:rsidP="00F9106B">
            <w:pPr>
              <w:spacing w:after="0"/>
              <w:rPr>
                <w:lang w:val="en-GB"/>
              </w:rPr>
            </w:pPr>
            <w:r>
              <w:rPr>
                <w:lang w:val="en-GB"/>
              </w:rPr>
              <w:t>For internal review</w:t>
            </w:r>
          </w:p>
        </w:tc>
        <w:tc>
          <w:tcPr>
            <w:tcW w:w="2729" w:type="dxa"/>
          </w:tcPr>
          <w:p w:rsidR="00F2433B" w:rsidRDefault="009E6CFE" w:rsidP="00F9106B">
            <w:pPr>
              <w:spacing w:after="0"/>
              <w:rPr>
                <w:lang w:val="en-GB"/>
              </w:rPr>
            </w:pPr>
            <w:r>
              <w:rPr>
                <w:lang w:val="en-GB"/>
              </w:rPr>
              <w:t>Review at FAIR/GSI</w:t>
            </w:r>
          </w:p>
        </w:tc>
      </w:tr>
      <w:tr w:rsidR="00F2433B" w:rsidTr="00F2433B">
        <w:tc>
          <w:tcPr>
            <w:tcW w:w="2728" w:type="dxa"/>
          </w:tcPr>
          <w:p w:rsidR="00F2433B" w:rsidRDefault="00B05407" w:rsidP="00F9106B">
            <w:pPr>
              <w:spacing w:after="0"/>
              <w:rPr>
                <w:lang w:val="en-GB"/>
              </w:rPr>
            </w:pPr>
            <w:r>
              <w:rPr>
                <w:lang w:val="en-GB"/>
              </w:rPr>
              <w:t>07</w:t>
            </w:r>
          </w:p>
        </w:tc>
        <w:tc>
          <w:tcPr>
            <w:tcW w:w="2728" w:type="dxa"/>
          </w:tcPr>
          <w:p w:rsidR="00F2433B" w:rsidRDefault="00B05407" w:rsidP="00F9106B">
            <w:pPr>
              <w:spacing w:after="0"/>
              <w:rPr>
                <w:lang w:val="en-GB"/>
              </w:rPr>
            </w:pPr>
            <w:r>
              <w:rPr>
                <w:lang w:val="en-GB"/>
              </w:rPr>
              <w:t>17.12.2018</w:t>
            </w:r>
          </w:p>
        </w:tc>
        <w:tc>
          <w:tcPr>
            <w:tcW w:w="2728" w:type="dxa"/>
          </w:tcPr>
          <w:p w:rsidR="00F2433B" w:rsidRDefault="00F9106B" w:rsidP="00F9106B">
            <w:pPr>
              <w:spacing w:after="0"/>
              <w:rPr>
                <w:lang w:val="en-GB"/>
              </w:rPr>
            </w:pPr>
            <w:r>
              <w:rPr>
                <w:lang w:val="en-GB"/>
              </w:rPr>
              <w:t>For internal review</w:t>
            </w:r>
          </w:p>
        </w:tc>
        <w:tc>
          <w:tcPr>
            <w:tcW w:w="2729" w:type="dxa"/>
          </w:tcPr>
          <w:p w:rsidR="00F2433B" w:rsidRDefault="009E6CFE" w:rsidP="00F9106B">
            <w:pPr>
              <w:spacing w:after="0"/>
              <w:rPr>
                <w:lang w:val="en-GB"/>
              </w:rPr>
            </w:pPr>
            <w:r>
              <w:rPr>
                <w:lang w:val="en-GB"/>
              </w:rPr>
              <w:t>Review by IDEAAL WP2 and project coordination</w:t>
            </w:r>
          </w:p>
        </w:tc>
      </w:tr>
      <w:tr w:rsidR="004860E2" w:rsidTr="00F2433B">
        <w:tc>
          <w:tcPr>
            <w:tcW w:w="2728" w:type="dxa"/>
          </w:tcPr>
          <w:p w:rsidR="004860E2" w:rsidRDefault="00AE29C3" w:rsidP="00F9106B">
            <w:pPr>
              <w:spacing w:after="0"/>
              <w:rPr>
                <w:lang w:val="en-GB"/>
              </w:rPr>
            </w:pPr>
            <w:r>
              <w:rPr>
                <w:lang w:val="en-GB"/>
              </w:rPr>
              <w:t>09</w:t>
            </w:r>
          </w:p>
        </w:tc>
        <w:tc>
          <w:tcPr>
            <w:tcW w:w="2728" w:type="dxa"/>
          </w:tcPr>
          <w:p w:rsidR="004860E2" w:rsidRDefault="001A3AAA" w:rsidP="00F9106B">
            <w:pPr>
              <w:spacing w:after="0"/>
              <w:rPr>
                <w:lang w:val="en-GB"/>
              </w:rPr>
            </w:pPr>
            <w:r>
              <w:rPr>
                <w:lang w:val="en-GB"/>
              </w:rPr>
              <w:t>19.12.2018</w:t>
            </w:r>
          </w:p>
        </w:tc>
        <w:tc>
          <w:tcPr>
            <w:tcW w:w="2728" w:type="dxa"/>
          </w:tcPr>
          <w:p w:rsidR="004860E2" w:rsidRDefault="004860E2" w:rsidP="00F9106B">
            <w:pPr>
              <w:spacing w:after="0"/>
              <w:rPr>
                <w:lang w:val="en-GB"/>
              </w:rPr>
            </w:pPr>
            <w:r>
              <w:rPr>
                <w:lang w:val="en-GB"/>
              </w:rPr>
              <w:t>Submitted on EC Participant Portal</w:t>
            </w:r>
          </w:p>
        </w:tc>
        <w:tc>
          <w:tcPr>
            <w:tcW w:w="2729" w:type="dxa"/>
          </w:tcPr>
          <w:p w:rsidR="004860E2" w:rsidRDefault="004860E2" w:rsidP="00F9106B">
            <w:pPr>
              <w:spacing w:after="0"/>
              <w:rPr>
                <w:lang w:val="en-GB"/>
              </w:rPr>
            </w:pPr>
          </w:p>
        </w:tc>
      </w:tr>
      <w:tr w:rsidR="00F2433B" w:rsidTr="00F2433B">
        <w:tc>
          <w:tcPr>
            <w:tcW w:w="2728" w:type="dxa"/>
          </w:tcPr>
          <w:p w:rsidR="00F2433B" w:rsidRDefault="00F2433B" w:rsidP="00F9106B">
            <w:pPr>
              <w:spacing w:after="0"/>
              <w:rPr>
                <w:lang w:val="en-GB"/>
              </w:rPr>
            </w:pPr>
          </w:p>
        </w:tc>
        <w:tc>
          <w:tcPr>
            <w:tcW w:w="2728" w:type="dxa"/>
          </w:tcPr>
          <w:p w:rsidR="00F2433B" w:rsidRDefault="00F2433B" w:rsidP="00F9106B">
            <w:pPr>
              <w:spacing w:after="0"/>
              <w:rPr>
                <w:lang w:val="en-GB"/>
              </w:rPr>
            </w:pPr>
          </w:p>
        </w:tc>
        <w:tc>
          <w:tcPr>
            <w:tcW w:w="2728" w:type="dxa"/>
          </w:tcPr>
          <w:p w:rsidR="00F2433B" w:rsidRDefault="00F9106B" w:rsidP="00F9106B">
            <w:pPr>
              <w:spacing w:after="0"/>
              <w:rPr>
                <w:lang w:val="en-GB"/>
              </w:rPr>
            </w:pPr>
            <w:r>
              <w:rPr>
                <w:lang w:val="en-GB"/>
              </w:rPr>
              <w:t>Final version</w:t>
            </w:r>
          </w:p>
        </w:tc>
        <w:tc>
          <w:tcPr>
            <w:tcW w:w="2729" w:type="dxa"/>
          </w:tcPr>
          <w:p w:rsidR="00F2433B" w:rsidRDefault="00F2433B" w:rsidP="00F9106B">
            <w:pPr>
              <w:spacing w:after="0"/>
              <w:rPr>
                <w:lang w:val="en-GB"/>
              </w:rPr>
            </w:pPr>
          </w:p>
        </w:tc>
      </w:tr>
    </w:tbl>
    <w:p w:rsidR="00F9106B" w:rsidRDefault="00F9106B" w:rsidP="00882672">
      <w:pPr>
        <w:rPr>
          <w:lang w:val="en-GB"/>
        </w:rPr>
      </w:pPr>
    </w:p>
    <w:p w:rsidR="00882672" w:rsidRPr="001E19A3" w:rsidRDefault="001E19A3" w:rsidP="004D1B53">
      <w:pPr>
        <w:pStyle w:val="berschrift4"/>
        <w:rPr>
          <w:b w:val="0"/>
          <w:i/>
          <w:sz w:val="22"/>
          <w:szCs w:val="22"/>
          <w:lang w:val="en-GB"/>
        </w:rPr>
      </w:pPr>
      <w:r w:rsidRPr="001E19A3">
        <w:rPr>
          <w:b w:val="0"/>
          <w:i/>
          <w:sz w:val="22"/>
          <w:szCs w:val="22"/>
          <w:lang w:val="en-GB"/>
        </w:rPr>
        <w:t>DOCUMENT KEYWORDS</w:t>
      </w:r>
    </w:p>
    <w:tbl>
      <w:tblPr>
        <w:tblStyle w:val="Tabellenraster"/>
        <w:tblW w:w="0" w:type="auto"/>
        <w:tblLook w:val="04A0" w:firstRow="1" w:lastRow="0" w:firstColumn="1" w:lastColumn="0" w:noHBand="0" w:noVBand="1"/>
      </w:tblPr>
      <w:tblGrid>
        <w:gridCol w:w="2534"/>
        <w:gridCol w:w="7661"/>
      </w:tblGrid>
      <w:tr w:rsidR="004D1B53" w:rsidTr="004D1B53">
        <w:tc>
          <w:tcPr>
            <w:tcW w:w="2660" w:type="dxa"/>
          </w:tcPr>
          <w:p w:rsidR="004D1B53" w:rsidRDefault="004D1B53" w:rsidP="00882672">
            <w:pPr>
              <w:rPr>
                <w:lang w:val="en-GB"/>
              </w:rPr>
            </w:pPr>
            <w:r>
              <w:rPr>
                <w:lang w:val="en-GB"/>
              </w:rPr>
              <w:t>Keywords</w:t>
            </w:r>
          </w:p>
        </w:tc>
        <w:tc>
          <w:tcPr>
            <w:tcW w:w="8253" w:type="dxa"/>
          </w:tcPr>
          <w:p w:rsidR="004D1B53" w:rsidRDefault="003643EA" w:rsidP="00882672">
            <w:pPr>
              <w:rPr>
                <w:lang w:val="en-GB"/>
              </w:rPr>
            </w:pPr>
            <w:r>
              <w:rPr>
                <w:lang w:val="en-GB"/>
              </w:rPr>
              <w:t xml:space="preserve">In-kind contribution, big science, </w:t>
            </w:r>
            <w:r w:rsidR="001F4E3D">
              <w:rPr>
                <w:lang w:val="en-GB"/>
              </w:rPr>
              <w:t xml:space="preserve">review, monitoring, costbook, FTE, scientific collaboration, accelerator, partner laboratories, </w:t>
            </w:r>
            <w:r w:rsidR="0043588B">
              <w:rPr>
                <w:lang w:val="en-GB"/>
              </w:rPr>
              <w:t>procurement</w:t>
            </w:r>
            <w:r w:rsidR="001A3AAA">
              <w:rPr>
                <w:lang w:val="en-GB"/>
              </w:rPr>
              <w:t>, GANIL SPIRAL2, project management</w:t>
            </w:r>
          </w:p>
        </w:tc>
      </w:tr>
    </w:tbl>
    <w:p w:rsidR="004D1B53" w:rsidRDefault="004D1B53" w:rsidP="00242EB8">
      <w:pPr>
        <w:jc w:val="center"/>
        <w:rPr>
          <w:lang w:val="en-GB"/>
        </w:rPr>
      </w:pPr>
    </w:p>
    <w:p w:rsidR="004D1B53" w:rsidRDefault="004D1B53">
      <w:pPr>
        <w:rPr>
          <w:lang w:val="en-GB"/>
        </w:rPr>
      </w:pPr>
    </w:p>
    <w:p w:rsidR="004D1B53" w:rsidRPr="004D1B53" w:rsidRDefault="004D1B53" w:rsidP="004D1B53">
      <w:pPr>
        <w:pStyle w:val="berschrift4"/>
        <w:rPr>
          <w:lang w:val="en-CA"/>
        </w:rPr>
      </w:pPr>
      <w:r w:rsidRPr="004D1B53">
        <w:rPr>
          <w:lang w:val="en-CA"/>
        </w:rPr>
        <w:t>Disclaimer</w:t>
      </w:r>
    </w:p>
    <w:p w:rsidR="004D1B53" w:rsidRDefault="004D1B53" w:rsidP="004D1B53">
      <w:pPr>
        <w:pStyle w:val="KeinLeerraum"/>
        <w:jc w:val="both"/>
        <w:rPr>
          <w:rFonts w:asciiTheme="minorHAnsi" w:hAnsiTheme="minorHAnsi"/>
          <w:lang w:val="en-CA"/>
        </w:rPr>
      </w:pPr>
      <w:r w:rsidRPr="004D1B53">
        <w:rPr>
          <w:rFonts w:asciiTheme="minorHAnsi" w:hAnsiTheme="minorHAnsi"/>
          <w:lang w:val="en-CA"/>
        </w:rPr>
        <w:t>This deliverable has</w:t>
      </w:r>
      <w:r>
        <w:rPr>
          <w:rFonts w:asciiTheme="minorHAnsi" w:hAnsiTheme="minorHAnsi"/>
          <w:lang w:val="en-CA"/>
        </w:rPr>
        <w:t xml:space="preserve"> been prepared by Work Package </w:t>
      </w:r>
      <w:r w:rsidR="001F4E3D">
        <w:rPr>
          <w:rFonts w:asciiTheme="minorHAnsi" w:hAnsiTheme="minorHAnsi"/>
          <w:lang w:val="en-CA"/>
        </w:rPr>
        <w:t>2</w:t>
      </w:r>
      <w:r w:rsidRPr="004D1B53">
        <w:rPr>
          <w:rFonts w:asciiTheme="minorHAnsi" w:hAnsiTheme="minorHAnsi"/>
          <w:lang w:val="en-CA"/>
        </w:rPr>
        <w:t xml:space="preserve"> of the Project in accordance with the</w:t>
      </w:r>
      <w:r>
        <w:rPr>
          <w:rFonts w:asciiTheme="minorHAnsi" w:hAnsiTheme="minorHAnsi"/>
          <w:lang w:val="en-CA"/>
        </w:rPr>
        <w:t xml:space="preserve"> </w:t>
      </w:r>
      <w:r w:rsidRPr="004D1B53">
        <w:rPr>
          <w:rFonts w:asciiTheme="minorHAnsi" w:hAnsiTheme="minorHAnsi"/>
          <w:lang w:val="en-CA"/>
        </w:rPr>
        <w:t>Consortium Agreement and the Grant Agreement n°</w:t>
      </w:r>
      <w:r w:rsidR="001366A2">
        <w:rPr>
          <w:rFonts w:asciiTheme="minorHAnsi" w:hAnsiTheme="minorHAnsi"/>
          <w:lang w:val="en-CA"/>
        </w:rPr>
        <w:t>730989</w:t>
      </w:r>
      <w:r w:rsidRPr="004D1B53">
        <w:rPr>
          <w:rFonts w:asciiTheme="minorHAnsi" w:hAnsiTheme="minorHAnsi"/>
          <w:lang w:val="en-CA"/>
        </w:rPr>
        <w:t>. It solely reflects the opinion</w:t>
      </w:r>
      <w:r>
        <w:rPr>
          <w:rFonts w:asciiTheme="minorHAnsi" w:hAnsiTheme="minorHAnsi"/>
          <w:lang w:val="en-CA"/>
        </w:rPr>
        <w:t xml:space="preserve"> </w:t>
      </w:r>
      <w:r w:rsidRPr="004D1B53">
        <w:rPr>
          <w:rFonts w:asciiTheme="minorHAnsi" w:hAnsiTheme="minorHAnsi"/>
          <w:lang w:val="en-CA"/>
        </w:rPr>
        <w:t>of the parties to such agreements on a collective basis in the context of the Project and to the</w:t>
      </w:r>
      <w:r>
        <w:rPr>
          <w:rFonts w:asciiTheme="minorHAnsi" w:hAnsiTheme="minorHAnsi"/>
          <w:lang w:val="en-CA"/>
        </w:rPr>
        <w:t xml:space="preserve"> </w:t>
      </w:r>
      <w:r w:rsidRPr="004D1B53">
        <w:rPr>
          <w:rFonts w:asciiTheme="minorHAnsi" w:hAnsiTheme="minorHAnsi"/>
          <w:lang w:val="en-CA"/>
        </w:rPr>
        <w:t xml:space="preserve">extent foreseen in such agreements. </w:t>
      </w:r>
    </w:p>
    <w:p w:rsidR="004D1B53" w:rsidRPr="004D1B53" w:rsidRDefault="004D1B53" w:rsidP="004D1B53">
      <w:pPr>
        <w:pStyle w:val="KeinLeerraum"/>
        <w:rPr>
          <w:rFonts w:asciiTheme="minorHAnsi" w:hAnsiTheme="minorHAnsi"/>
          <w:lang w:val="en-CA"/>
        </w:rPr>
      </w:pPr>
    </w:p>
    <w:p w:rsidR="004D1B53" w:rsidRPr="004D1B53" w:rsidRDefault="004D1B53" w:rsidP="004D1B53">
      <w:pPr>
        <w:pStyle w:val="berschrift4"/>
        <w:rPr>
          <w:lang w:val="en-CA"/>
        </w:rPr>
      </w:pPr>
      <w:r w:rsidRPr="004D1B53">
        <w:rPr>
          <w:lang w:val="en-CA"/>
        </w:rPr>
        <w:t>Copyright notices</w:t>
      </w:r>
    </w:p>
    <w:p w:rsidR="004D1B53" w:rsidRPr="004D1B53" w:rsidRDefault="004D1B53" w:rsidP="00E46775">
      <w:pPr>
        <w:pStyle w:val="KeinLeerraum"/>
        <w:tabs>
          <w:tab w:val="left" w:pos="1843"/>
        </w:tabs>
        <w:jc w:val="both"/>
        <w:rPr>
          <w:rFonts w:asciiTheme="minorHAnsi" w:hAnsiTheme="minorHAnsi"/>
          <w:lang w:val="en-CA"/>
        </w:rPr>
      </w:pPr>
      <w:r>
        <w:rPr>
          <w:rFonts w:asciiTheme="minorHAnsi" w:hAnsiTheme="minorHAnsi"/>
          <w:lang w:val="en-CA"/>
        </w:rPr>
        <w:t>©</w:t>
      </w:r>
      <w:r w:rsidRPr="004D1B53">
        <w:rPr>
          <w:rFonts w:asciiTheme="minorHAnsi" w:hAnsiTheme="minorHAnsi"/>
          <w:lang w:val="en-CA"/>
        </w:rPr>
        <w:t xml:space="preserve"> 20</w:t>
      </w:r>
      <w:r w:rsidR="001366A2">
        <w:rPr>
          <w:rFonts w:asciiTheme="minorHAnsi" w:hAnsiTheme="minorHAnsi"/>
          <w:lang w:val="en-CA"/>
        </w:rPr>
        <w:t>18</w:t>
      </w:r>
      <w:r w:rsidRPr="004D1B53">
        <w:rPr>
          <w:rFonts w:asciiTheme="minorHAnsi" w:hAnsiTheme="minorHAnsi"/>
          <w:lang w:val="en-CA"/>
        </w:rPr>
        <w:t xml:space="preserve"> </w:t>
      </w:r>
      <w:r w:rsidR="001366A2">
        <w:rPr>
          <w:rFonts w:asciiTheme="minorHAnsi" w:hAnsiTheme="minorHAnsi"/>
          <w:lang w:val="en-CA"/>
        </w:rPr>
        <w:t>IDEAAL</w:t>
      </w:r>
      <w:r w:rsidRPr="004D1B53">
        <w:rPr>
          <w:rFonts w:asciiTheme="minorHAnsi" w:hAnsiTheme="minorHAnsi"/>
          <w:lang w:val="en-CA"/>
        </w:rPr>
        <w:t xml:space="preserve"> Consortium Partners. All rights reserved. This document is a project</w:t>
      </w:r>
      <w:r>
        <w:rPr>
          <w:rFonts w:asciiTheme="minorHAnsi" w:hAnsiTheme="minorHAnsi"/>
          <w:lang w:val="en-CA"/>
        </w:rPr>
        <w:t xml:space="preserve"> </w:t>
      </w:r>
      <w:r w:rsidRPr="004D1B53">
        <w:rPr>
          <w:rFonts w:asciiTheme="minorHAnsi" w:hAnsiTheme="minorHAnsi"/>
          <w:lang w:val="en-CA"/>
        </w:rPr>
        <w:t xml:space="preserve">document of the </w:t>
      </w:r>
      <w:r w:rsidR="001366A2">
        <w:rPr>
          <w:rFonts w:asciiTheme="minorHAnsi" w:hAnsiTheme="minorHAnsi"/>
          <w:lang w:val="en-CA"/>
        </w:rPr>
        <w:t>IDEAAL</w:t>
      </w:r>
      <w:r w:rsidRPr="004D1B53">
        <w:rPr>
          <w:rFonts w:asciiTheme="minorHAnsi" w:hAnsiTheme="minorHAnsi"/>
          <w:lang w:val="en-CA"/>
        </w:rPr>
        <w:t xml:space="preserve"> project. All contents are reserved by default and may not be</w:t>
      </w:r>
      <w:r>
        <w:rPr>
          <w:rFonts w:asciiTheme="minorHAnsi" w:hAnsiTheme="minorHAnsi"/>
          <w:lang w:val="en-CA"/>
        </w:rPr>
        <w:t xml:space="preserve"> </w:t>
      </w:r>
      <w:r w:rsidRPr="004D1B53">
        <w:rPr>
          <w:rFonts w:asciiTheme="minorHAnsi" w:hAnsiTheme="minorHAnsi"/>
          <w:lang w:val="en-CA"/>
        </w:rPr>
        <w:t xml:space="preserve">disclosed to third parties without the written consent of the </w:t>
      </w:r>
      <w:r w:rsidR="00E46775">
        <w:rPr>
          <w:rFonts w:asciiTheme="minorHAnsi" w:hAnsiTheme="minorHAnsi"/>
          <w:lang w:val="en-CA"/>
        </w:rPr>
        <w:t>IDEAAL</w:t>
      </w:r>
      <w:r w:rsidRPr="004D1B53">
        <w:rPr>
          <w:rFonts w:asciiTheme="minorHAnsi" w:hAnsiTheme="minorHAnsi"/>
          <w:lang w:val="en-CA"/>
        </w:rPr>
        <w:t xml:space="preserve"> partners, except as</w:t>
      </w:r>
      <w:r>
        <w:rPr>
          <w:rFonts w:asciiTheme="minorHAnsi" w:hAnsiTheme="minorHAnsi"/>
          <w:lang w:val="en-CA"/>
        </w:rPr>
        <w:t xml:space="preserve"> </w:t>
      </w:r>
      <w:r w:rsidRPr="004D1B53">
        <w:rPr>
          <w:rFonts w:asciiTheme="minorHAnsi" w:hAnsiTheme="minorHAnsi"/>
          <w:lang w:val="en-CA"/>
        </w:rPr>
        <w:t xml:space="preserve">mandated by the European Commission contract </w:t>
      </w:r>
      <w:r w:rsidR="001366A2">
        <w:rPr>
          <w:rFonts w:asciiTheme="minorHAnsi" w:hAnsiTheme="minorHAnsi"/>
          <w:lang w:val="en-CA"/>
        </w:rPr>
        <w:t>730989</w:t>
      </w:r>
      <w:r w:rsidRPr="004D1B53">
        <w:rPr>
          <w:rFonts w:asciiTheme="minorHAnsi" w:hAnsiTheme="minorHAnsi"/>
          <w:lang w:val="en-CA"/>
        </w:rPr>
        <w:t xml:space="preserve"> for reviewing and dissemination</w:t>
      </w:r>
      <w:r>
        <w:rPr>
          <w:rFonts w:asciiTheme="minorHAnsi" w:hAnsiTheme="minorHAnsi"/>
          <w:lang w:val="en-CA"/>
        </w:rPr>
        <w:t xml:space="preserve"> </w:t>
      </w:r>
      <w:r w:rsidRPr="004D1B53">
        <w:rPr>
          <w:rFonts w:asciiTheme="minorHAnsi" w:hAnsiTheme="minorHAnsi"/>
          <w:lang w:val="en-CA"/>
        </w:rPr>
        <w:t>purposes.</w:t>
      </w:r>
    </w:p>
    <w:p w:rsidR="004D1B53" w:rsidRPr="004D1B53" w:rsidRDefault="004D1B53" w:rsidP="004D1B53">
      <w:pPr>
        <w:pStyle w:val="KeinLeerraum"/>
        <w:jc w:val="both"/>
        <w:rPr>
          <w:rFonts w:asciiTheme="minorHAnsi" w:hAnsiTheme="minorHAnsi"/>
          <w:lang w:val="en-CA"/>
        </w:rPr>
      </w:pPr>
      <w:r w:rsidRPr="004D1B53">
        <w:rPr>
          <w:rFonts w:asciiTheme="minorHAnsi" w:hAnsiTheme="minorHAnsi"/>
          <w:lang w:val="en-CA"/>
        </w:rPr>
        <w:t>All trademarks and other rights on third party products mentioned in this document are</w:t>
      </w:r>
      <w:r>
        <w:rPr>
          <w:rFonts w:asciiTheme="minorHAnsi" w:hAnsiTheme="minorHAnsi"/>
          <w:lang w:val="en-CA"/>
        </w:rPr>
        <w:t xml:space="preserve"> </w:t>
      </w:r>
      <w:r w:rsidRPr="004D1B53">
        <w:rPr>
          <w:rFonts w:asciiTheme="minorHAnsi" w:hAnsiTheme="minorHAnsi"/>
          <w:lang w:val="en-CA"/>
        </w:rPr>
        <w:t>acknowledged as own by the respective holders.</w:t>
      </w:r>
    </w:p>
    <w:p w:rsidR="004D1B53" w:rsidRDefault="004D1B53" w:rsidP="00242EB8">
      <w:pPr>
        <w:jc w:val="center"/>
        <w:rPr>
          <w:b/>
          <w:u w:val="single"/>
          <w:lang w:val="en-CA"/>
        </w:rPr>
      </w:pPr>
    </w:p>
    <w:p w:rsidR="004D1B53" w:rsidRDefault="004D1B53">
      <w:pPr>
        <w:rPr>
          <w:b/>
          <w:u w:val="single"/>
          <w:lang w:val="en-CA"/>
        </w:rPr>
      </w:pPr>
      <w:r>
        <w:rPr>
          <w:b/>
          <w:u w:val="single"/>
          <w:lang w:val="en-CA"/>
        </w:rPr>
        <w:br w:type="page"/>
      </w:r>
    </w:p>
    <w:sdt>
      <w:sdtPr>
        <w:rPr>
          <w:i/>
          <w:iCs/>
          <w:smallCaps/>
        </w:rPr>
        <w:id w:val="5324873"/>
        <w:docPartObj>
          <w:docPartGallery w:val="Table of Contents"/>
          <w:docPartUnique/>
        </w:docPartObj>
      </w:sdtPr>
      <w:sdtEndPr>
        <w:rPr>
          <w:i w:val="0"/>
          <w:iCs w:val="0"/>
          <w:smallCaps w:val="0"/>
          <w:lang w:val="fr-FR"/>
        </w:rPr>
      </w:sdtEndPr>
      <w:sdtContent>
        <w:p w:rsidR="00F87F59" w:rsidRPr="001E19A3" w:rsidRDefault="001E19A3" w:rsidP="001E19A3">
          <w:pPr>
            <w:pStyle w:val="Listenabsatz"/>
            <w:ind w:left="0"/>
          </w:pPr>
          <w:r w:rsidRPr="001E19A3">
            <w:rPr>
              <w:i/>
            </w:rPr>
            <w:t>TABLE OF CONTENTS</w:t>
          </w:r>
        </w:p>
        <w:p w:rsidR="00AB25FB" w:rsidRDefault="00796F60">
          <w:pPr>
            <w:pStyle w:val="Verzeichnis3"/>
            <w:tabs>
              <w:tab w:val="right" w:leader="dot" w:pos="10195"/>
            </w:tabs>
            <w:rPr>
              <w:rFonts w:asciiTheme="minorHAnsi" w:eastAsiaTheme="minorEastAsia" w:hAnsiTheme="minorHAnsi" w:cstheme="minorBidi"/>
              <w:noProof/>
              <w:lang w:val="de-DE" w:eastAsia="de-DE" w:bidi="ar-SA"/>
            </w:rPr>
          </w:pPr>
          <w:r>
            <w:rPr>
              <w:lang w:val="fr-FR"/>
            </w:rPr>
            <w:fldChar w:fldCharType="begin"/>
          </w:r>
          <w:r w:rsidR="00F87F59">
            <w:rPr>
              <w:lang w:val="fr-FR"/>
            </w:rPr>
            <w:instrText xml:space="preserve"> TOC \o "1-3" \h \z \u </w:instrText>
          </w:r>
          <w:r>
            <w:rPr>
              <w:lang w:val="fr-FR"/>
            </w:rPr>
            <w:fldChar w:fldCharType="separate"/>
          </w:r>
          <w:hyperlink w:anchor="_Toc532549084" w:history="1">
            <w:r w:rsidR="00AB25FB" w:rsidRPr="007E4FF4">
              <w:rPr>
                <w:rStyle w:val="Hyperlink"/>
                <w:noProof/>
              </w:rPr>
              <w:t>List of Figures</w:t>
            </w:r>
            <w:r w:rsidR="00AB25FB">
              <w:rPr>
                <w:noProof/>
                <w:webHidden/>
              </w:rPr>
              <w:tab/>
            </w:r>
            <w:r w:rsidR="00AB25FB">
              <w:rPr>
                <w:noProof/>
                <w:webHidden/>
              </w:rPr>
              <w:fldChar w:fldCharType="begin"/>
            </w:r>
            <w:r w:rsidR="00AB25FB">
              <w:rPr>
                <w:noProof/>
                <w:webHidden/>
              </w:rPr>
              <w:instrText xml:space="preserve"> PAGEREF _Toc532549084 \h </w:instrText>
            </w:r>
            <w:r w:rsidR="00AB25FB">
              <w:rPr>
                <w:noProof/>
                <w:webHidden/>
              </w:rPr>
            </w:r>
            <w:r w:rsidR="00AB25FB">
              <w:rPr>
                <w:noProof/>
                <w:webHidden/>
              </w:rPr>
              <w:fldChar w:fldCharType="separate"/>
            </w:r>
            <w:r w:rsidR="00AB25FB">
              <w:rPr>
                <w:noProof/>
                <w:webHidden/>
              </w:rPr>
              <w:t>4</w:t>
            </w:r>
            <w:r w:rsidR="00AB25FB">
              <w:rPr>
                <w:noProof/>
                <w:webHidden/>
              </w:rPr>
              <w:fldChar w:fldCharType="end"/>
            </w:r>
          </w:hyperlink>
        </w:p>
        <w:p w:rsidR="00AB25FB" w:rsidRDefault="003C5A81">
          <w:pPr>
            <w:pStyle w:val="Verzeichnis3"/>
            <w:tabs>
              <w:tab w:val="right" w:leader="dot" w:pos="10195"/>
            </w:tabs>
            <w:rPr>
              <w:rFonts w:asciiTheme="minorHAnsi" w:eastAsiaTheme="minorEastAsia" w:hAnsiTheme="minorHAnsi" w:cstheme="minorBidi"/>
              <w:noProof/>
              <w:lang w:val="de-DE" w:eastAsia="de-DE" w:bidi="ar-SA"/>
            </w:rPr>
          </w:pPr>
          <w:hyperlink w:anchor="_Toc532549085" w:history="1">
            <w:r w:rsidR="00AB25FB" w:rsidRPr="007E4FF4">
              <w:rPr>
                <w:rStyle w:val="Hyperlink"/>
                <w:noProof/>
                <w:lang w:val="en-CA"/>
              </w:rPr>
              <w:t>References and applicable documents</w:t>
            </w:r>
            <w:r w:rsidR="00AB25FB">
              <w:rPr>
                <w:noProof/>
                <w:webHidden/>
              </w:rPr>
              <w:tab/>
            </w:r>
            <w:r w:rsidR="00AB25FB">
              <w:rPr>
                <w:noProof/>
                <w:webHidden/>
              </w:rPr>
              <w:fldChar w:fldCharType="begin"/>
            </w:r>
            <w:r w:rsidR="00AB25FB">
              <w:rPr>
                <w:noProof/>
                <w:webHidden/>
              </w:rPr>
              <w:instrText xml:space="preserve"> PAGEREF _Toc532549085 \h </w:instrText>
            </w:r>
            <w:r w:rsidR="00AB25FB">
              <w:rPr>
                <w:noProof/>
                <w:webHidden/>
              </w:rPr>
            </w:r>
            <w:r w:rsidR="00AB25FB">
              <w:rPr>
                <w:noProof/>
                <w:webHidden/>
              </w:rPr>
              <w:fldChar w:fldCharType="separate"/>
            </w:r>
            <w:r w:rsidR="00AB25FB">
              <w:rPr>
                <w:noProof/>
                <w:webHidden/>
              </w:rPr>
              <w:t>4</w:t>
            </w:r>
            <w:r w:rsidR="00AB25FB">
              <w:rPr>
                <w:noProof/>
                <w:webHidden/>
              </w:rPr>
              <w:fldChar w:fldCharType="end"/>
            </w:r>
          </w:hyperlink>
        </w:p>
        <w:p w:rsidR="00AB25FB" w:rsidRDefault="003C5A81">
          <w:pPr>
            <w:pStyle w:val="Verzeichnis3"/>
            <w:tabs>
              <w:tab w:val="right" w:leader="dot" w:pos="10195"/>
            </w:tabs>
            <w:rPr>
              <w:rFonts w:asciiTheme="minorHAnsi" w:eastAsiaTheme="minorEastAsia" w:hAnsiTheme="minorHAnsi" w:cstheme="minorBidi"/>
              <w:noProof/>
              <w:lang w:val="de-DE" w:eastAsia="de-DE" w:bidi="ar-SA"/>
            </w:rPr>
          </w:pPr>
          <w:hyperlink w:anchor="_Toc532549086" w:history="1">
            <w:r w:rsidR="00AB25FB" w:rsidRPr="007E4FF4">
              <w:rPr>
                <w:rStyle w:val="Hyperlink"/>
                <w:noProof/>
                <w:lang w:val="en-CA"/>
              </w:rPr>
              <w:t>List of acronyms and abbreviations</w:t>
            </w:r>
            <w:r w:rsidR="00AB25FB">
              <w:rPr>
                <w:noProof/>
                <w:webHidden/>
              </w:rPr>
              <w:tab/>
            </w:r>
            <w:r w:rsidR="00AB25FB">
              <w:rPr>
                <w:noProof/>
                <w:webHidden/>
              </w:rPr>
              <w:fldChar w:fldCharType="begin"/>
            </w:r>
            <w:r w:rsidR="00AB25FB">
              <w:rPr>
                <w:noProof/>
                <w:webHidden/>
              </w:rPr>
              <w:instrText xml:space="preserve"> PAGEREF _Toc532549086 \h </w:instrText>
            </w:r>
            <w:r w:rsidR="00AB25FB">
              <w:rPr>
                <w:noProof/>
                <w:webHidden/>
              </w:rPr>
            </w:r>
            <w:r w:rsidR="00AB25FB">
              <w:rPr>
                <w:noProof/>
                <w:webHidden/>
              </w:rPr>
              <w:fldChar w:fldCharType="separate"/>
            </w:r>
            <w:r w:rsidR="00AB25FB">
              <w:rPr>
                <w:noProof/>
                <w:webHidden/>
              </w:rPr>
              <w:t>4</w:t>
            </w:r>
            <w:r w:rsidR="00AB25FB">
              <w:rPr>
                <w:noProof/>
                <w:webHidden/>
              </w:rPr>
              <w:fldChar w:fldCharType="end"/>
            </w:r>
          </w:hyperlink>
        </w:p>
        <w:p w:rsidR="00AB25FB" w:rsidRDefault="003C5A81">
          <w:pPr>
            <w:pStyle w:val="Verzeichnis3"/>
            <w:tabs>
              <w:tab w:val="right" w:leader="dot" w:pos="10195"/>
            </w:tabs>
            <w:rPr>
              <w:rFonts w:asciiTheme="minorHAnsi" w:eastAsiaTheme="minorEastAsia" w:hAnsiTheme="minorHAnsi" w:cstheme="minorBidi"/>
              <w:noProof/>
              <w:lang w:val="de-DE" w:eastAsia="de-DE" w:bidi="ar-SA"/>
            </w:rPr>
          </w:pPr>
          <w:hyperlink w:anchor="_Toc532549087" w:history="1">
            <w:r w:rsidR="00AB25FB" w:rsidRPr="007E4FF4">
              <w:rPr>
                <w:rStyle w:val="Hyperlink"/>
                <w:rFonts w:ascii="Calibri" w:hAnsi="Calibri" w:cs="Calibri"/>
                <w:noProof/>
                <w:lang w:val="en-CA"/>
              </w:rPr>
              <w:t>Executive Summary</w:t>
            </w:r>
            <w:r w:rsidR="00AB25FB">
              <w:rPr>
                <w:noProof/>
                <w:webHidden/>
              </w:rPr>
              <w:tab/>
            </w:r>
            <w:r w:rsidR="00AB25FB">
              <w:rPr>
                <w:noProof/>
                <w:webHidden/>
              </w:rPr>
              <w:fldChar w:fldCharType="begin"/>
            </w:r>
            <w:r w:rsidR="00AB25FB">
              <w:rPr>
                <w:noProof/>
                <w:webHidden/>
              </w:rPr>
              <w:instrText xml:space="preserve"> PAGEREF _Toc532549087 \h </w:instrText>
            </w:r>
            <w:r w:rsidR="00AB25FB">
              <w:rPr>
                <w:noProof/>
                <w:webHidden/>
              </w:rPr>
            </w:r>
            <w:r w:rsidR="00AB25FB">
              <w:rPr>
                <w:noProof/>
                <w:webHidden/>
              </w:rPr>
              <w:fldChar w:fldCharType="separate"/>
            </w:r>
            <w:r w:rsidR="00AB25FB">
              <w:rPr>
                <w:noProof/>
                <w:webHidden/>
              </w:rPr>
              <w:t>6</w:t>
            </w:r>
            <w:r w:rsidR="00AB25FB">
              <w:rPr>
                <w:noProof/>
                <w:webHidden/>
              </w:rPr>
              <w:fldChar w:fldCharType="end"/>
            </w:r>
          </w:hyperlink>
        </w:p>
        <w:p w:rsidR="00AB25FB" w:rsidRDefault="003C5A81">
          <w:pPr>
            <w:pStyle w:val="Verzeichnis3"/>
            <w:tabs>
              <w:tab w:val="right" w:leader="dot" w:pos="10195"/>
            </w:tabs>
            <w:rPr>
              <w:rFonts w:asciiTheme="minorHAnsi" w:eastAsiaTheme="minorEastAsia" w:hAnsiTheme="minorHAnsi" w:cstheme="minorBidi"/>
              <w:noProof/>
              <w:lang w:val="de-DE" w:eastAsia="de-DE" w:bidi="ar-SA"/>
            </w:rPr>
          </w:pPr>
          <w:hyperlink w:anchor="_Toc532549088" w:history="1">
            <w:r w:rsidR="00AB25FB" w:rsidRPr="007E4FF4">
              <w:rPr>
                <w:rStyle w:val="Hyperlink"/>
                <w:rFonts w:ascii="Calibri" w:hAnsi="Calibri" w:cs="Calibri"/>
                <w:noProof/>
                <w:lang w:val="fr-FR"/>
              </w:rPr>
              <w:t>Introduction</w:t>
            </w:r>
            <w:r w:rsidR="00AB25FB">
              <w:rPr>
                <w:noProof/>
                <w:webHidden/>
              </w:rPr>
              <w:tab/>
            </w:r>
            <w:r w:rsidR="00AB25FB">
              <w:rPr>
                <w:noProof/>
                <w:webHidden/>
              </w:rPr>
              <w:fldChar w:fldCharType="begin"/>
            </w:r>
            <w:r w:rsidR="00AB25FB">
              <w:rPr>
                <w:noProof/>
                <w:webHidden/>
              </w:rPr>
              <w:instrText xml:space="preserve"> PAGEREF _Toc532549088 \h </w:instrText>
            </w:r>
            <w:r w:rsidR="00AB25FB">
              <w:rPr>
                <w:noProof/>
                <w:webHidden/>
              </w:rPr>
            </w:r>
            <w:r w:rsidR="00AB25FB">
              <w:rPr>
                <w:noProof/>
                <w:webHidden/>
              </w:rPr>
              <w:fldChar w:fldCharType="separate"/>
            </w:r>
            <w:r w:rsidR="00AB25FB">
              <w:rPr>
                <w:noProof/>
                <w:webHidden/>
              </w:rPr>
              <w:t>6</w:t>
            </w:r>
            <w:r w:rsidR="00AB25FB">
              <w:rPr>
                <w:noProof/>
                <w:webHidden/>
              </w:rPr>
              <w:fldChar w:fldCharType="end"/>
            </w:r>
          </w:hyperlink>
        </w:p>
        <w:p w:rsidR="00AB25FB" w:rsidRDefault="003C5A81">
          <w:pPr>
            <w:pStyle w:val="Verzeichnis3"/>
            <w:tabs>
              <w:tab w:val="right" w:leader="dot" w:pos="10195"/>
            </w:tabs>
            <w:rPr>
              <w:rFonts w:asciiTheme="minorHAnsi" w:eastAsiaTheme="minorEastAsia" w:hAnsiTheme="minorHAnsi" w:cstheme="minorBidi"/>
              <w:noProof/>
              <w:lang w:val="de-DE" w:eastAsia="de-DE" w:bidi="ar-SA"/>
            </w:rPr>
          </w:pPr>
          <w:hyperlink w:anchor="_Toc532549089" w:history="1">
            <w:r w:rsidR="00AB25FB" w:rsidRPr="007E4FF4">
              <w:rPr>
                <w:rStyle w:val="Hyperlink"/>
                <w:rFonts w:ascii="Calibri" w:hAnsi="Calibri" w:cs="Calibri"/>
                <w:noProof/>
              </w:rPr>
              <w:t>Section 1: In-kind at GANIL-SPIRAL2: list of ingredients</w:t>
            </w:r>
            <w:r w:rsidR="00AB25FB">
              <w:rPr>
                <w:noProof/>
                <w:webHidden/>
              </w:rPr>
              <w:tab/>
            </w:r>
            <w:r w:rsidR="00AB25FB">
              <w:rPr>
                <w:noProof/>
                <w:webHidden/>
              </w:rPr>
              <w:fldChar w:fldCharType="begin"/>
            </w:r>
            <w:r w:rsidR="00AB25FB">
              <w:rPr>
                <w:noProof/>
                <w:webHidden/>
              </w:rPr>
              <w:instrText xml:space="preserve"> PAGEREF _Toc532549089 \h </w:instrText>
            </w:r>
            <w:r w:rsidR="00AB25FB">
              <w:rPr>
                <w:noProof/>
                <w:webHidden/>
              </w:rPr>
            </w:r>
            <w:r w:rsidR="00AB25FB">
              <w:rPr>
                <w:noProof/>
                <w:webHidden/>
              </w:rPr>
              <w:fldChar w:fldCharType="separate"/>
            </w:r>
            <w:r w:rsidR="00AB25FB">
              <w:rPr>
                <w:noProof/>
                <w:webHidden/>
              </w:rPr>
              <w:t>7</w:t>
            </w:r>
            <w:r w:rsidR="00AB25FB">
              <w:rPr>
                <w:noProof/>
                <w:webHidden/>
              </w:rPr>
              <w:fldChar w:fldCharType="end"/>
            </w:r>
          </w:hyperlink>
        </w:p>
        <w:p w:rsidR="00AB25FB" w:rsidRDefault="003C5A81">
          <w:pPr>
            <w:pStyle w:val="Verzeichnis3"/>
            <w:tabs>
              <w:tab w:val="right" w:leader="dot" w:pos="10195"/>
            </w:tabs>
            <w:rPr>
              <w:rFonts w:asciiTheme="minorHAnsi" w:eastAsiaTheme="minorEastAsia" w:hAnsiTheme="minorHAnsi" w:cstheme="minorBidi"/>
              <w:noProof/>
              <w:lang w:val="de-DE" w:eastAsia="de-DE" w:bidi="ar-SA"/>
            </w:rPr>
          </w:pPr>
          <w:hyperlink w:anchor="_Toc532549090" w:history="1">
            <w:r w:rsidR="00AB25FB" w:rsidRPr="007E4FF4">
              <w:rPr>
                <w:rStyle w:val="Hyperlink"/>
                <w:rFonts w:ascii="Calibri" w:hAnsi="Calibri" w:cs="Calibri"/>
                <w:noProof/>
              </w:rPr>
              <w:t>Section 2: “The” in-kind model</w:t>
            </w:r>
            <w:r w:rsidR="00AB25FB">
              <w:rPr>
                <w:noProof/>
                <w:webHidden/>
              </w:rPr>
              <w:tab/>
            </w:r>
            <w:r w:rsidR="00AB25FB">
              <w:rPr>
                <w:noProof/>
                <w:webHidden/>
              </w:rPr>
              <w:fldChar w:fldCharType="begin"/>
            </w:r>
            <w:r w:rsidR="00AB25FB">
              <w:rPr>
                <w:noProof/>
                <w:webHidden/>
              </w:rPr>
              <w:instrText xml:space="preserve"> PAGEREF _Toc532549090 \h </w:instrText>
            </w:r>
            <w:r w:rsidR="00AB25FB">
              <w:rPr>
                <w:noProof/>
                <w:webHidden/>
              </w:rPr>
            </w:r>
            <w:r w:rsidR="00AB25FB">
              <w:rPr>
                <w:noProof/>
                <w:webHidden/>
              </w:rPr>
              <w:fldChar w:fldCharType="separate"/>
            </w:r>
            <w:r w:rsidR="00AB25FB">
              <w:rPr>
                <w:noProof/>
                <w:webHidden/>
              </w:rPr>
              <w:t>8</w:t>
            </w:r>
            <w:r w:rsidR="00AB25FB">
              <w:rPr>
                <w:noProof/>
                <w:webHidden/>
              </w:rPr>
              <w:fldChar w:fldCharType="end"/>
            </w:r>
          </w:hyperlink>
        </w:p>
        <w:p w:rsidR="00AB25FB" w:rsidRDefault="003C5A81">
          <w:pPr>
            <w:pStyle w:val="Verzeichnis3"/>
            <w:tabs>
              <w:tab w:val="right" w:leader="dot" w:pos="10195"/>
            </w:tabs>
            <w:rPr>
              <w:rFonts w:asciiTheme="minorHAnsi" w:eastAsiaTheme="minorEastAsia" w:hAnsiTheme="minorHAnsi" w:cstheme="minorBidi"/>
              <w:noProof/>
              <w:lang w:val="de-DE" w:eastAsia="de-DE" w:bidi="ar-SA"/>
            </w:rPr>
          </w:pPr>
          <w:hyperlink w:anchor="_Toc532549091" w:history="1">
            <w:r w:rsidR="00AB25FB" w:rsidRPr="007E4FF4">
              <w:rPr>
                <w:rStyle w:val="Hyperlink"/>
                <w:rFonts w:ascii="Calibri" w:hAnsi="Calibri" w:cs="Calibri"/>
                <w:noProof/>
              </w:rPr>
              <w:t>Section 3: Building with a sliding scope</w:t>
            </w:r>
            <w:r w:rsidR="00AB25FB">
              <w:rPr>
                <w:noProof/>
                <w:webHidden/>
              </w:rPr>
              <w:tab/>
            </w:r>
            <w:r w:rsidR="00AB25FB">
              <w:rPr>
                <w:noProof/>
                <w:webHidden/>
              </w:rPr>
              <w:fldChar w:fldCharType="begin"/>
            </w:r>
            <w:r w:rsidR="00AB25FB">
              <w:rPr>
                <w:noProof/>
                <w:webHidden/>
              </w:rPr>
              <w:instrText xml:space="preserve"> PAGEREF _Toc532549091 \h </w:instrText>
            </w:r>
            <w:r w:rsidR="00AB25FB">
              <w:rPr>
                <w:noProof/>
                <w:webHidden/>
              </w:rPr>
            </w:r>
            <w:r w:rsidR="00AB25FB">
              <w:rPr>
                <w:noProof/>
                <w:webHidden/>
              </w:rPr>
              <w:fldChar w:fldCharType="separate"/>
            </w:r>
            <w:r w:rsidR="00AB25FB">
              <w:rPr>
                <w:noProof/>
                <w:webHidden/>
              </w:rPr>
              <w:t>9</w:t>
            </w:r>
            <w:r w:rsidR="00AB25FB">
              <w:rPr>
                <w:noProof/>
                <w:webHidden/>
              </w:rPr>
              <w:fldChar w:fldCharType="end"/>
            </w:r>
          </w:hyperlink>
        </w:p>
        <w:p w:rsidR="00AB25FB" w:rsidRDefault="003C5A81">
          <w:pPr>
            <w:pStyle w:val="Verzeichnis3"/>
            <w:tabs>
              <w:tab w:val="right" w:leader="dot" w:pos="10195"/>
            </w:tabs>
            <w:rPr>
              <w:rFonts w:asciiTheme="minorHAnsi" w:eastAsiaTheme="minorEastAsia" w:hAnsiTheme="minorHAnsi" w:cstheme="minorBidi"/>
              <w:noProof/>
              <w:lang w:val="de-DE" w:eastAsia="de-DE" w:bidi="ar-SA"/>
            </w:rPr>
          </w:pPr>
          <w:hyperlink w:anchor="_Toc532549092" w:history="1">
            <w:r w:rsidR="00AB25FB" w:rsidRPr="007E4FF4">
              <w:rPr>
                <w:rStyle w:val="Hyperlink"/>
                <w:rFonts w:ascii="Calibri" w:hAnsi="Calibri" w:cs="Calibri"/>
                <w:noProof/>
              </w:rPr>
              <w:t>Section 4: Monitoring in-kind contributions</w:t>
            </w:r>
            <w:r w:rsidR="00AB25FB">
              <w:rPr>
                <w:noProof/>
                <w:webHidden/>
              </w:rPr>
              <w:tab/>
            </w:r>
            <w:r w:rsidR="00AB25FB">
              <w:rPr>
                <w:noProof/>
                <w:webHidden/>
              </w:rPr>
              <w:fldChar w:fldCharType="begin"/>
            </w:r>
            <w:r w:rsidR="00AB25FB">
              <w:rPr>
                <w:noProof/>
                <w:webHidden/>
              </w:rPr>
              <w:instrText xml:space="preserve"> PAGEREF _Toc532549092 \h </w:instrText>
            </w:r>
            <w:r w:rsidR="00AB25FB">
              <w:rPr>
                <w:noProof/>
                <w:webHidden/>
              </w:rPr>
            </w:r>
            <w:r w:rsidR="00AB25FB">
              <w:rPr>
                <w:noProof/>
                <w:webHidden/>
              </w:rPr>
              <w:fldChar w:fldCharType="separate"/>
            </w:r>
            <w:r w:rsidR="00AB25FB">
              <w:rPr>
                <w:noProof/>
                <w:webHidden/>
              </w:rPr>
              <w:t>12</w:t>
            </w:r>
            <w:r w:rsidR="00AB25FB">
              <w:rPr>
                <w:noProof/>
                <w:webHidden/>
              </w:rPr>
              <w:fldChar w:fldCharType="end"/>
            </w:r>
          </w:hyperlink>
        </w:p>
        <w:p w:rsidR="00AB25FB" w:rsidRDefault="003C5A81">
          <w:pPr>
            <w:pStyle w:val="Verzeichnis3"/>
            <w:tabs>
              <w:tab w:val="right" w:leader="dot" w:pos="10195"/>
            </w:tabs>
            <w:rPr>
              <w:rFonts w:asciiTheme="minorHAnsi" w:eastAsiaTheme="minorEastAsia" w:hAnsiTheme="minorHAnsi" w:cstheme="minorBidi"/>
              <w:noProof/>
              <w:lang w:val="de-DE" w:eastAsia="de-DE" w:bidi="ar-SA"/>
            </w:rPr>
          </w:pPr>
          <w:hyperlink w:anchor="_Toc532549093" w:history="1">
            <w:r w:rsidR="00AB25FB" w:rsidRPr="007E4FF4">
              <w:rPr>
                <w:rStyle w:val="Hyperlink"/>
                <w:rFonts w:ascii="Calibri" w:hAnsi="Calibri" w:cs="Calibri"/>
                <w:noProof/>
              </w:rPr>
              <w:t>Section 5: Lessons learned</w:t>
            </w:r>
            <w:r w:rsidR="00AB25FB">
              <w:rPr>
                <w:noProof/>
                <w:webHidden/>
              </w:rPr>
              <w:tab/>
            </w:r>
            <w:r w:rsidR="00AB25FB">
              <w:rPr>
                <w:noProof/>
                <w:webHidden/>
              </w:rPr>
              <w:fldChar w:fldCharType="begin"/>
            </w:r>
            <w:r w:rsidR="00AB25FB">
              <w:rPr>
                <w:noProof/>
                <w:webHidden/>
              </w:rPr>
              <w:instrText xml:space="preserve"> PAGEREF _Toc532549093 \h </w:instrText>
            </w:r>
            <w:r w:rsidR="00AB25FB">
              <w:rPr>
                <w:noProof/>
                <w:webHidden/>
              </w:rPr>
            </w:r>
            <w:r w:rsidR="00AB25FB">
              <w:rPr>
                <w:noProof/>
                <w:webHidden/>
              </w:rPr>
              <w:fldChar w:fldCharType="separate"/>
            </w:r>
            <w:r w:rsidR="00AB25FB">
              <w:rPr>
                <w:noProof/>
                <w:webHidden/>
              </w:rPr>
              <w:t>13</w:t>
            </w:r>
            <w:r w:rsidR="00AB25FB">
              <w:rPr>
                <w:noProof/>
                <w:webHidden/>
              </w:rPr>
              <w:fldChar w:fldCharType="end"/>
            </w:r>
          </w:hyperlink>
        </w:p>
        <w:p w:rsidR="00AB25FB" w:rsidRDefault="003C5A81">
          <w:pPr>
            <w:pStyle w:val="Verzeichnis3"/>
            <w:tabs>
              <w:tab w:val="right" w:leader="dot" w:pos="10195"/>
            </w:tabs>
            <w:rPr>
              <w:rFonts w:asciiTheme="minorHAnsi" w:eastAsiaTheme="minorEastAsia" w:hAnsiTheme="minorHAnsi" w:cstheme="minorBidi"/>
              <w:noProof/>
              <w:lang w:val="de-DE" w:eastAsia="de-DE" w:bidi="ar-SA"/>
            </w:rPr>
          </w:pPr>
          <w:hyperlink w:anchor="_Toc532549094" w:history="1">
            <w:r w:rsidR="00AB25FB" w:rsidRPr="007E4FF4">
              <w:rPr>
                <w:rStyle w:val="Hyperlink"/>
                <w:rFonts w:ascii="Calibri" w:hAnsi="Calibri" w:cs="Calibri"/>
                <w:noProof/>
              </w:rPr>
              <w:t>Conclusion</w:t>
            </w:r>
            <w:r w:rsidR="00AB25FB">
              <w:rPr>
                <w:noProof/>
                <w:webHidden/>
              </w:rPr>
              <w:tab/>
            </w:r>
            <w:r w:rsidR="00AB25FB">
              <w:rPr>
                <w:noProof/>
                <w:webHidden/>
              </w:rPr>
              <w:fldChar w:fldCharType="begin"/>
            </w:r>
            <w:r w:rsidR="00AB25FB">
              <w:rPr>
                <w:noProof/>
                <w:webHidden/>
              </w:rPr>
              <w:instrText xml:space="preserve"> PAGEREF _Toc532549094 \h </w:instrText>
            </w:r>
            <w:r w:rsidR="00AB25FB">
              <w:rPr>
                <w:noProof/>
                <w:webHidden/>
              </w:rPr>
            </w:r>
            <w:r w:rsidR="00AB25FB">
              <w:rPr>
                <w:noProof/>
                <w:webHidden/>
              </w:rPr>
              <w:fldChar w:fldCharType="separate"/>
            </w:r>
            <w:r w:rsidR="00AB25FB">
              <w:rPr>
                <w:noProof/>
                <w:webHidden/>
              </w:rPr>
              <w:t>14</w:t>
            </w:r>
            <w:r w:rsidR="00AB25FB">
              <w:rPr>
                <w:noProof/>
                <w:webHidden/>
              </w:rPr>
              <w:fldChar w:fldCharType="end"/>
            </w:r>
          </w:hyperlink>
        </w:p>
        <w:p w:rsidR="00AB25FB" w:rsidRDefault="003C5A81">
          <w:pPr>
            <w:pStyle w:val="Verzeichnis3"/>
            <w:tabs>
              <w:tab w:val="right" w:leader="dot" w:pos="10195"/>
            </w:tabs>
            <w:rPr>
              <w:rFonts w:asciiTheme="minorHAnsi" w:eastAsiaTheme="minorEastAsia" w:hAnsiTheme="minorHAnsi" w:cstheme="minorBidi"/>
              <w:noProof/>
              <w:lang w:val="de-DE" w:eastAsia="de-DE" w:bidi="ar-SA"/>
            </w:rPr>
          </w:pPr>
          <w:hyperlink w:anchor="_Toc532549095" w:history="1">
            <w:r w:rsidR="00AB25FB" w:rsidRPr="007E4FF4">
              <w:rPr>
                <w:rStyle w:val="Hyperlink"/>
                <w:rFonts w:ascii="Calibri" w:hAnsi="Calibri" w:cs="Calibri"/>
                <w:noProof/>
                <w:lang w:val="en-GB"/>
              </w:rPr>
              <w:t>Annex</w:t>
            </w:r>
            <w:r w:rsidR="00AB25FB">
              <w:rPr>
                <w:noProof/>
                <w:webHidden/>
              </w:rPr>
              <w:tab/>
            </w:r>
            <w:r w:rsidR="00AB25FB">
              <w:rPr>
                <w:noProof/>
                <w:webHidden/>
              </w:rPr>
              <w:fldChar w:fldCharType="begin"/>
            </w:r>
            <w:r w:rsidR="00AB25FB">
              <w:rPr>
                <w:noProof/>
                <w:webHidden/>
              </w:rPr>
              <w:instrText xml:space="preserve"> PAGEREF _Toc532549095 \h </w:instrText>
            </w:r>
            <w:r w:rsidR="00AB25FB">
              <w:rPr>
                <w:noProof/>
                <w:webHidden/>
              </w:rPr>
            </w:r>
            <w:r w:rsidR="00AB25FB">
              <w:rPr>
                <w:noProof/>
                <w:webHidden/>
              </w:rPr>
              <w:fldChar w:fldCharType="separate"/>
            </w:r>
            <w:r w:rsidR="00AB25FB">
              <w:rPr>
                <w:noProof/>
                <w:webHidden/>
              </w:rPr>
              <w:t>16</w:t>
            </w:r>
            <w:r w:rsidR="00AB25FB">
              <w:rPr>
                <w:noProof/>
                <w:webHidden/>
              </w:rPr>
              <w:fldChar w:fldCharType="end"/>
            </w:r>
          </w:hyperlink>
        </w:p>
        <w:p w:rsidR="00326DA9" w:rsidRPr="001A3AAA" w:rsidRDefault="00796F60" w:rsidP="001A3AAA">
          <w:pPr>
            <w:rPr>
              <w:lang w:val="fr-FR"/>
            </w:rPr>
          </w:pPr>
          <w:r>
            <w:rPr>
              <w:lang w:val="fr-FR"/>
            </w:rPr>
            <w:fldChar w:fldCharType="end"/>
          </w:r>
        </w:p>
      </w:sdtContent>
    </w:sdt>
    <w:p w:rsidR="001A3AAA" w:rsidRDefault="001A3AAA" w:rsidP="007762DC">
      <w:pPr>
        <w:pStyle w:val="berschrift3"/>
        <w:contextualSpacing/>
        <w:rPr>
          <w:lang w:val="en-CA"/>
        </w:rPr>
      </w:pPr>
      <w:bookmarkStart w:id="21" w:name="_Toc532549085"/>
    </w:p>
    <w:p w:rsidR="00B10FE5" w:rsidRDefault="00B10FE5" w:rsidP="007762DC">
      <w:pPr>
        <w:pStyle w:val="berschrift3"/>
        <w:contextualSpacing/>
        <w:rPr>
          <w:lang w:val="en-CA"/>
        </w:rPr>
      </w:pPr>
      <w:r>
        <w:rPr>
          <w:lang w:val="en-CA"/>
        </w:rPr>
        <w:t>References and applicable documents</w:t>
      </w:r>
      <w:bookmarkEnd w:id="21"/>
    </w:p>
    <w:p w:rsidR="00B10FE5" w:rsidRDefault="00B10FE5" w:rsidP="007762DC">
      <w:pPr>
        <w:pStyle w:val="KeinLeerraum"/>
        <w:contextualSpacing/>
        <w:rPr>
          <w:lang w:val="en-CA"/>
        </w:rPr>
      </w:pPr>
      <w:r w:rsidRPr="00B10FE5">
        <w:rPr>
          <w:lang w:val="en-CA"/>
        </w:rPr>
        <w:t>[1</w:t>
      </w:r>
      <w:r w:rsidR="00C30A3A">
        <w:rPr>
          <w:lang w:val="en-CA"/>
        </w:rPr>
        <w:t>]</w:t>
      </w:r>
      <w:r w:rsidR="002B6784">
        <w:rPr>
          <w:lang w:val="en-CA"/>
        </w:rPr>
        <w:t xml:space="preserve"> Contrat Constitutif GIE GANIL</w:t>
      </w:r>
    </w:p>
    <w:p w:rsidR="002B6784" w:rsidRDefault="002B6784" w:rsidP="007762DC">
      <w:pPr>
        <w:pStyle w:val="KeinLeerraum"/>
        <w:contextualSpacing/>
        <w:rPr>
          <w:lang w:val="en-CA"/>
        </w:rPr>
      </w:pPr>
      <w:r>
        <w:rPr>
          <w:lang w:val="en-CA"/>
        </w:rPr>
        <w:t>[2] Private correspondence</w:t>
      </w:r>
    </w:p>
    <w:p w:rsidR="00C70D6D" w:rsidRDefault="00C70D6D" w:rsidP="007762DC">
      <w:pPr>
        <w:pStyle w:val="KeinLeerraum"/>
        <w:contextualSpacing/>
        <w:rPr>
          <w:lang w:val="en-CA"/>
        </w:rPr>
      </w:pPr>
      <w:r>
        <w:rPr>
          <w:lang w:val="en-CA"/>
        </w:rPr>
        <w:t xml:space="preserve">[3] </w:t>
      </w:r>
      <w:hyperlink r:id="rId9" w:history="1">
        <w:r w:rsidR="003D0912" w:rsidRPr="00B159C8">
          <w:rPr>
            <w:rStyle w:val="Hyperlink"/>
            <w:lang w:val="en-CA"/>
          </w:rPr>
          <w:t>https://wiki.gsi.de/foswiki/bin/view/IKBestX/IKBest_plenum_01_results</w:t>
        </w:r>
      </w:hyperlink>
    </w:p>
    <w:p w:rsidR="003D0912" w:rsidRDefault="003D0912" w:rsidP="007762DC">
      <w:pPr>
        <w:pStyle w:val="KeinLeerraum"/>
        <w:contextualSpacing/>
      </w:pPr>
      <w:r>
        <w:rPr>
          <w:lang w:val="en-CA"/>
        </w:rPr>
        <w:t xml:space="preserve">[4] Article 9 of </w:t>
      </w:r>
      <w:r>
        <w:t>Directive 2014/24/EU of the European Parliament and of the Council of 26 February 2014 on public procurement and repealing Directive 2004/18/EC Text with EEA relevance</w:t>
      </w:r>
    </w:p>
    <w:p w:rsidR="00EF1CAE" w:rsidRDefault="00EF1CAE" w:rsidP="007762DC">
      <w:pPr>
        <w:pStyle w:val="KeinLeerraum"/>
        <w:contextualSpacing/>
      </w:pPr>
      <w:r>
        <w:t>[5] The ESRO convention of 1962</w:t>
      </w:r>
    </w:p>
    <w:p w:rsidR="00EF1CAE" w:rsidRDefault="00EF1CAE" w:rsidP="007762DC">
      <w:pPr>
        <w:pStyle w:val="KeinLeerraum"/>
        <w:contextualSpacing/>
      </w:pPr>
      <w:r>
        <w:t>[6] Private correspondence</w:t>
      </w:r>
    </w:p>
    <w:p w:rsidR="00651553" w:rsidRPr="00651553" w:rsidRDefault="00651553" w:rsidP="00651553">
      <w:pPr>
        <w:autoSpaceDE w:val="0"/>
        <w:autoSpaceDN w:val="0"/>
        <w:adjustRightInd w:val="0"/>
        <w:spacing w:after="0" w:line="240" w:lineRule="auto"/>
        <w:rPr>
          <w:rFonts w:cstheme="majorHAnsi"/>
          <w:sz w:val="23"/>
          <w:szCs w:val="23"/>
          <w:lang w:bidi="ar-SA"/>
        </w:rPr>
      </w:pPr>
      <w:r w:rsidRPr="00651553">
        <w:rPr>
          <w:rFonts w:cstheme="majorHAnsi"/>
          <w:sz w:val="20"/>
        </w:rPr>
        <w:t xml:space="preserve">[7] </w:t>
      </w:r>
      <w:r w:rsidR="007E6646">
        <w:rPr>
          <w:rFonts w:cstheme="majorHAnsi"/>
          <w:sz w:val="23"/>
          <w:szCs w:val="23"/>
          <w:lang w:bidi="ar-SA"/>
        </w:rPr>
        <w:t>T</w:t>
      </w:r>
      <w:r w:rsidRPr="00651553">
        <w:rPr>
          <w:rFonts w:cstheme="majorHAnsi"/>
          <w:sz w:val="23"/>
          <w:szCs w:val="23"/>
          <w:lang w:bidi="ar-SA"/>
        </w:rPr>
        <w:t>he update and revision of the CERN Procurement Rules (CERN/FC/5305) and the General Conditions of Invitations to Tender by CERN (CERN/FC/5312).</w:t>
      </w:r>
    </w:p>
    <w:p w:rsidR="008E6427" w:rsidRDefault="000F6FBB" w:rsidP="007762DC">
      <w:pPr>
        <w:pStyle w:val="KeinLeerraum"/>
        <w:contextualSpacing/>
        <w:rPr>
          <w:lang w:val="en-CA"/>
        </w:rPr>
      </w:pPr>
      <w:r>
        <w:rPr>
          <w:lang w:val="en-CA"/>
        </w:rPr>
        <w:t>[8] “In-Kind Contributions: a prosperous model of procurement for large-scale science projects”, Proceedings of IPAC 2016, R. Amirikas and P. Ghosh</w:t>
      </w:r>
    </w:p>
    <w:p w:rsidR="00C53F92" w:rsidRDefault="00C53F92" w:rsidP="007762DC">
      <w:pPr>
        <w:pStyle w:val="KeinLeerraum"/>
        <w:contextualSpacing/>
        <w:rPr>
          <w:lang w:val="en-CA"/>
        </w:rPr>
      </w:pPr>
      <w:r>
        <w:rPr>
          <w:lang w:val="en-CA"/>
        </w:rPr>
        <w:t>[9] INCOTERMS 2010</w:t>
      </w:r>
    </w:p>
    <w:p w:rsidR="00C53F92" w:rsidRDefault="00C53F92" w:rsidP="007762DC">
      <w:pPr>
        <w:pStyle w:val="KeinLeerraum"/>
        <w:contextualSpacing/>
        <w:rPr>
          <w:lang w:val="en-CA"/>
        </w:rPr>
      </w:pPr>
      <w:r>
        <w:rPr>
          <w:lang w:val="en-CA"/>
        </w:rPr>
        <w:t>[10] The FAIR convention</w:t>
      </w:r>
    </w:p>
    <w:p w:rsidR="00C53F92" w:rsidRDefault="00C53F92" w:rsidP="007762DC">
      <w:pPr>
        <w:pStyle w:val="KeinLeerraum"/>
        <w:contextualSpacing/>
        <w:rPr>
          <w:lang w:val="en-CA"/>
        </w:rPr>
      </w:pPr>
      <w:r>
        <w:rPr>
          <w:lang w:val="en-CA"/>
        </w:rPr>
        <w:t>[11] F-GS-F-01e General Specification for the FAIR Accelerator Facility, 2014</w:t>
      </w:r>
    </w:p>
    <w:p w:rsidR="00FA0E51" w:rsidRDefault="00FA0E51" w:rsidP="007762DC">
      <w:pPr>
        <w:pStyle w:val="KeinLeerraum"/>
        <w:contextualSpacing/>
        <w:rPr>
          <w:lang w:val="en-CA"/>
        </w:rPr>
      </w:pPr>
      <w:r>
        <w:rPr>
          <w:lang w:val="en-CA"/>
        </w:rPr>
        <w:t xml:space="preserve">[12] </w:t>
      </w:r>
      <w:hyperlink r:id="rId10" w:history="1">
        <w:r w:rsidRPr="00B159C8">
          <w:rPr>
            <w:rStyle w:val="Hyperlink"/>
            <w:lang w:val="en-CA"/>
          </w:rPr>
          <w:t>https://wiki.gsi.de/foswiki/bin/view/IKBestX/IKBest4_group_1_in-kind_models_in_practice</w:t>
        </w:r>
      </w:hyperlink>
    </w:p>
    <w:p w:rsidR="00FA0E51" w:rsidRDefault="00FA0E51" w:rsidP="007762DC">
      <w:pPr>
        <w:pStyle w:val="KeinLeerraum"/>
        <w:contextualSpacing/>
        <w:rPr>
          <w:lang w:val="en-CA"/>
        </w:rPr>
      </w:pPr>
      <w:r>
        <w:rPr>
          <w:lang w:val="en-CA"/>
        </w:rPr>
        <w:t>[13] Private correspondence between S. Utermann and M. Deval</w:t>
      </w:r>
    </w:p>
    <w:p w:rsidR="00FA0E51" w:rsidRDefault="00FA0E51" w:rsidP="007762DC">
      <w:pPr>
        <w:pStyle w:val="KeinLeerraum"/>
        <w:contextualSpacing/>
        <w:rPr>
          <w:lang w:val="en-CA"/>
        </w:rPr>
      </w:pPr>
      <w:r>
        <w:rPr>
          <w:lang w:val="en-CA"/>
        </w:rPr>
        <w:t>[14] Private correspondence between the authors and IN2P3</w:t>
      </w:r>
    </w:p>
    <w:p w:rsidR="007536F1" w:rsidRDefault="007536F1" w:rsidP="007762DC">
      <w:pPr>
        <w:pStyle w:val="KeinLeerraum"/>
        <w:contextualSpacing/>
        <w:rPr>
          <w:lang w:val="en-CA"/>
        </w:rPr>
      </w:pPr>
      <w:r w:rsidRPr="00D90604">
        <w:rPr>
          <w:lang w:val="en-CA"/>
        </w:rPr>
        <w:t xml:space="preserve">[15] </w:t>
      </w:r>
      <w:r w:rsidR="00D90604" w:rsidRPr="00D90604">
        <w:rPr>
          <w:lang w:val="en-CA"/>
        </w:rPr>
        <w:t>https://wiki.gsi.de/foswiki/bin/view/IKBestX/IKBest4_group_1_in-kind_models_in_practice</w:t>
      </w:r>
    </w:p>
    <w:p w:rsidR="007536F1" w:rsidRDefault="007536F1" w:rsidP="007762DC">
      <w:pPr>
        <w:pStyle w:val="KeinLeerraum"/>
        <w:contextualSpacing/>
        <w:rPr>
          <w:lang w:val="en-CA"/>
        </w:rPr>
      </w:pPr>
      <w:r>
        <w:rPr>
          <w:lang w:val="en-CA"/>
        </w:rPr>
        <w:t>[16] Private correspondence via IDEAAL</w:t>
      </w:r>
    </w:p>
    <w:p w:rsidR="00CE1485" w:rsidRDefault="00CE1485" w:rsidP="007762DC">
      <w:pPr>
        <w:pStyle w:val="KeinLeerraum"/>
        <w:contextualSpacing/>
      </w:pPr>
      <w:r>
        <w:rPr>
          <w:lang w:val="en-CA"/>
        </w:rPr>
        <w:t xml:space="preserve">[17] </w:t>
      </w:r>
      <w:r>
        <w:t xml:space="preserve">Asset Maintenance Management Workshop AMMW 2015 </w:t>
      </w:r>
      <w:hyperlink r:id="rId11" w:history="1">
        <w:r>
          <w:rPr>
            <w:rStyle w:val="Hyperlink"/>
          </w:rPr>
          <w:t>https://indico.desy.de/indico/event/12223/</w:t>
        </w:r>
      </w:hyperlink>
    </w:p>
    <w:p w:rsidR="00CE1485" w:rsidRDefault="00CE1485" w:rsidP="007762DC">
      <w:pPr>
        <w:pStyle w:val="KeinLeerraum"/>
        <w:contextualSpacing/>
        <w:rPr>
          <w:lang w:val="en-CA"/>
        </w:rPr>
      </w:pPr>
      <w:r>
        <w:t>[18] Private correspondence between the authors and L. Hoestlandt</w:t>
      </w:r>
    </w:p>
    <w:p w:rsidR="00FA0E51" w:rsidRDefault="00D90604" w:rsidP="007762DC">
      <w:pPr>
        <w:pStyle w:val="KeinLeerraum"/>
        <w:contextualSpacing/>
        <w:rPr>
          <w:lang w:val="en-CA"/>
        </w:rPr>
      </w:pPr>
      <w:r>
        <w:rPr>
          <w:lang w:val="en-CA"/>
        </w:rPr>
        <w:t xml:space="preserve">[19] </w:t>
      </w:r>
      <w:hyperlink r:id="rId12" w:history="1">
        <w:r w:rsidR="006D22B3" w:rsidRPr="00B159C8">
          <w:rPr>
            <w:rStyle w:val="Hyperlink"/>
            <w:lang w:val="en-CA"/>
          </w:rPr>
          <w:t>www.edms.cern.ch</w:t>
        </w:r>
      </w:hyperlink>
    </w:p>
    <w:p w:rsidR="006D22B3" w:rsidRDefault="006D22B3" w:rsidP="007762DC">
      <w:pPr>
        <w:pStyle w:val="KeinLeerraum"/>
        <w:contextualSpacing/>
        <w:rPr>
          <w:lang w:val="en-CA"/>
        </w:rPr>
      </w:pPr>
      <w:r>
        <w:rPr>
          <w:lang w:val="en-CA"/>
        </w:rPr>
        <w:t>[20] Private correspondence</w:t>
      </w:r>
      <w:r w:rsidR="007E6646">
        <w:rPr>
          <w:lang w:val="en-CA"/>
        </w:rPr>
        <w:t xml:space="preserve"> between the authors and M. Davidovic</w:t>
      </w:r>
    </w:p>
    <w:p w:rsidR="008E6427" w:rsidRDefault="008E6427" w:rsidP="007762DC">
      <w:pPr>
        <w:pStyle w:val="KeinLeerraum"/>
        <w:contextualSpacing/>
        <w:rPr>
          <w:lang w:val="en-CA"/>
        </w:rPr>
      </w:pPr>
    </w:p>
    <w:p w:rsidR="001A3AAA" w:rsidRDefault="001A3AAA" w:rsidP="007762DC">
      <w:pPr>
        <w:pStyle w:val="KeinLeerraum"/>
        <w:contextualSpacing/>
        <w:rPr>
          <w:lang w:val="en-CA"/>
        </w:rPr>
      </w:pPr>
    </w:p>
    <w:p w:rsidR="001A3AAA" w:rsidRDefault="001A3AAA" w:rsidP="001A3AAA">
      <w:pPr>
        <w:pStyle w:val="KeinLeerraum"/>
        <w:tabs>
          <w:tab w:val="left" w:pos="2977"/>
        </w:tabs>
        <w:contextualSpacing/>
        <w:rPr>
          <w:lang w:val="en-CA"/>
        </w:rPr>
      </w:pPr>
    </w:p>
    <w:p w:rsidR="008E6427" w:rsidRDefault="008E6427" w:rsidP="007762DC">
      <w:pPr>
        <w:pStyle w:val="berschrift3"/>
        <w:contextualSpacing/>
        <w:rPr>
          <w:lang w:val="en-CA"/>
        </w:rPr>
      </w:pPr>
      <w:bookmarkStart w:id="22" w:name="_Toc532549086"/>
      <w:r>
        <w:rPr>
          <w:lang w:val="en-CA"/>
        </w:rPr>
        <w:lastRenderedPageBreak/>
        <w:t>List of acronyms and abbreviations</w:t>
      </w:r>
      <w:bookmarkEnd w:id="22"/>
    </w:p>
    <w:tbl>
      <w:tblPr>
        <w:tblStyle w:val="Tabellenraster"/>
        <w:tblW w:w="0" w:type="auto"/>
        <w:tblLook w:val="04A0" w:firstRow="1" w:lastRow="0" w:firstColumn="1" w:lastColumn="0" w:noHBand="0" w:noVBand="1"/>
      </w:tblPr>
      <w:tblGrid>
        <w:gridCol w:w="1885"/>
        <w:gridCol w:w="8310"/>
      </w:tblGrid>
      <w:tr w:rsidR="00670956" w:rsidRPr="00C30A3A" w:rsidTr="007E6646">
        <w:tc>
          <w:tcPr>
            <w:tcW w:w="1885" w:type="dxa"/>
          </w:tcPr>
          <w:p w:rsidR="00670956" w:rsidRDefault="00670956" w:rsidP="007762DC">
            <w:pPr>
              <w:pStyle w:val="KeinLeerraum"/>
              <w:contextualSpacing/>
              <w:rPr>
                <w:lang w:val="en-CA"/>
              </w:rPr>
            </w:pPr>
            <w:r>
              <w:rPr>
                <w:lang w:val="en-CA"/>
              </w:rPr>
              <w:t>BINP</w:t>
            </w:r>
          </w:p>
        </w:tc>
        <w:tc>
          <w:tcPr>
            <w:tcW w:w="8310" w:type="dxa"/>
          </w:tcPr>
          <w:p w:rsidR="00670956" w:rsidRDefault="00670956" w:rsidP="007762DC">
            <w:pPr>
              <w:pStyle w:val="KeinLeerraum"/>
              <w:contextualSpacing/>
              <w:rPr>
                <w:rStyle w:val="ms-rtestyle-cea-code-variable"/>
                <w:rFonts w:cs="Tahoma"/>
              </w:rPr>
            </w:pPr>
            <w:r>
              <w:rPr>
                <w:rStyle w:val="ms-rtestyle-cea-code-variable"/>
                <w:rFonts w:cs="Tahoma"/>
              </w:rPr>
              <w:t>Budker Institute of Nuclear Physics</w:t>
            </w:r>
          </w:p>
        </w:tc>
      </w:tr>
      <w:tr w:rsidR="008E6427" w:rsidRPr="00C30A3A" w:rsidTr="007E6646">
        <w:tc>
          <w:tcPr>
            <w:tcW w:w="1885" w:type="dxa"/>
          </w:tcPr>
          <w:p w:rsidR="008E6427" w:rsidRDefault="001F4E3D" w:rsidP="007762DC">
            <w:pPr>
              <w:pStyle w:val="KeinLeerraum"/>
              <w:contextualSpacing/>
              <w:rPr>
                <w:lang w:val="en-CA"/>
              </w:rPr>
            </w:pPr>
            <w:r>
              <w:rPr>
                <w:lang w:val="en-CA"/>
              </w:rPr>
              <w:t>CEA</w:t>
            </w:r>
          </w:p>
        </w:tc>
        <w:tc>
          <w:tcPr>
            <w:tcW w:w="8310" w:type="dxa"/>
          </w:tcPr>
          <w:p w:rsidR="008E6427" w:rsidRPr="00FC1336" w:rsidRDefault="00FC1336" w:rsidP="007762DC">
            <w:pPr>
              <w:pStyle w:val="KeinLeerraum"/>
              <w:contextualSpacing/>
              <w:rPr>
                <w:lang w:val="fr-FR"/>
              </w:rPr>
            </w:pPr>
            <w:r>
              <w:rPr>
                <w:rStyle w:val="ms-rtestyle-cea-code-variable"/>
                <w:rFonts w:cs="Tahoma"/>
              </w:rPr>
              <w:t>Le Commissariat à l’Energie Atomique et aux Energies A</w:t>
            </w:r>
            <w:r w:rsidRPr="00FC1336">
              <w:rPr>
                <w:rStyle w:val="ms-rtestyle-cea-code-variable"/>
                <w:rFonts w:cs="Tahoma"/>
              </w:rPr>
              <w:t>lternatives</w:t>
            </w:r>
          </w:p>
        </w:tc>
      </w:tr>
      <w:tr w:rsidR="007F1065" w:rsidRPr="00C30A3A" w:rsidTr="007E6646">
        <w:tc>
          <w:tcPr>
            <w:tcW w:w="1885" w:type="dxa"/>
          </w:tcPr>
          <w:p w:rsidR="007F1065" w:rsidRDefault="007F1065" w:rsidP="007762DC">
            <w:pPr>
              <w:pStyle w:val="KeinLeerraum"/>
              <w:contextualSpacing/>
              <w:rPr>
                <w:lang w:val="en-CA"/>
              </w:rPr>
            </w:pPr>
            <w:r>
              <w:rPr>
                <w:lang w:val="en-CA"/>
              </w:rPr>
              <w:t>CERN</w:t>
            </w:r>
          </w:p>
        </w:tc>
        <w:tc>
          <w:tcPr>
            <w:tcW w:w="8310" w:type="dxa"/>
          </w:tcPr>
          <w:p w:rsidR="007F1065" w:rsidRDefault="007F1065" w:rsidP="007762DC">
            <w:pPr>
              <w:pStyle w:val="KeinLeerraum"/>
              <w:contextualSpacing/>
              <w:rPr>
                <w:rStyle w:val="ms-rtestyle-cea-code-variable"/>
                <w:rFonts w:cs="Tahoma"/>
              </w:rPr>
            </w:pPr>
            <w:r>
              <w:rPr>
                <w:rStyle w:val="ms-rtestyle-cea-code-variable"/>
                <w:rFonts w:cs="Tahoma"/>
              </w:rPr>
              <w:t>Centre Européenne pour la Recherche Nucleaire</w:t>
            </w:r>
          </w:p>
        </w:tc>
      </w:tr>
      <w:tr w:rsidR="008E6427" w:rsidRPr="00C30A3A" w:rsidTr="007E6646">
        <w:tc>
          <w:tcPr>
            <w:tcW w:w="1885" w:type="dxa"/>
          </w:tcPr>
          <w:p w:rsidR="008E6427" w:rsidRDefault="001F4E3D" w:rsidP="007762DC">
            <w:pPr>
              <w:pStyle w:val="KeinLeerraum"/>
              <w:contextualSpacing/>
              <w:rPr>
                <w:lang w:val="en-CA"/>
              </w:rPr>
            </w:pPr>
            <w:r>
              <w:rPr>
                <w:lang w:val="en-CA"/>
              </w:rPr>
              <w:t>CNRS</w:t>
            </w:r>
          </w:p>
        </w:tc>
        <w:tc>
          <w:tcPr>
            <w:tcW w:w="8310" w:type="dxa"/>
          </w:tcPr>
          <w:p w:rsidR="008E6427" w:rsidRPr="008E6427" w:rsidRDefault="00FC1336" w:rsidP="007762DC">
            <w:pPr>
              <w:pStyle w:val="KeinLeerraum"/>
              <w:contextualSpacing/>
              <w:rPr>
                <w:lang w:val="fr-FR"/>
              </w:rPr>
            </w:pPr>
            <w:r>
              <w:rPr>
                <w:lang w:val="fr-FR"/>
              </w:rPr>
              <w:t>Centre National de la Rech</w:t>
            </w:r>
            <w:r w:rsidR="007F1065">
              <w:rPr>
                <w:lang w:val="fr-FR"/>
              </w:rPr>
              <w:t>e</w:t>
            </w:r>
            <w:r>
              <w:rPr>
                <w:lang w:val="fr-FR"/>
              </w:rPr>
              <w:t>rche Scientifique</w:t>
            </w:r>
          </w:p>
        </w:tc>
      </w:tr>
      <w:tr w:rsidR="00114CC0" w:rsidRPr="00C30A3A" w:rsidTr="007E6646">
        <w:tc>
          <w:tcPr>
            <w:tcW w:w="1885" w:type="dxa"/>
          </w:tcPr>
          <w:p w:rsidR="00114CC0" w:rsidRDefault="00114CC0" w:rsidP="007762DC">
            <w:pPr>
              <w:pStyle w:val="KeinLeerraum"/>
              <w:contextualSpacing/>
              <w:rPr>
                <w:lang w:val="en-CA"/>
              </w:rPr>
            </w:pPr>
            <w:r>
              <w:rPr>
                <w:lang w:val="en-CA"/>
              </w:rPr>
              <w:t>CODIR</w:t>
            </w:r>
          </w:p>
        </w:tc>
        <w:tc>
          <w:tcPr>
            <w:tcW w:w="8310" w:type="dxa"/>
          </w:tcPr>
          <w:p w:rsidR="00114CC0" w:rsidRDefault="007E6646" w:rsidP="008D69C6">
            <w:pPr>
              <w:pStyle w:val="KeinLeerraum"/>
              <w:contextualSpacing/>
              <w:rPr>
                <w:lang w:val="fr-FR"/>
              </w:rPr>
            </w:pPr>
            <w:r>
              <w:rPr>
                <w:lang w:val="fr-FR"/>
              </w:rPr>
              <w:t xml:space="preserve">GANIL </w:t>
            </w:r>
            <w:r w:rsidR="008D69C6">
              <w:rPr>
                <w:lang w:val="fr-FR"/>
              </w:rPr>
              <w:t>Comité de Direction</w:t>
            </w:r>
          </w:p>
        </w:tc>
      </w:tr>
      <w:tr w:rsidR="007F1065" w:rsidRPr="00C30A3A" w:rsidTr="007E6646">
        <w:tc>
          <w:tcPr>
            <w:tcW w:w="1885" w:type="dxa"/>
          </w:tcPr>
          <w:p w:rsidR="007F1065" w:rsidRDefault="007F1065" w:rsidP="007762DC">
            <w:pPr>
              <w:pStyle w:val="KeinLeerraum"/>
              <w:contextualSpacing/>
              <w:rPr>
                <w:lang w:val="en-CA"/>
              </w:rPr>
            </w:pPr>
            <w:r>
              <w:rPr>
                <w:lang w:val="en-CA"/>
              </w:rPr>
              <w:t>CTA</w:t>
            </w:r>
          </w:p>
        </w:tc>
        <w:tc>
          <w:tcPr>
            <w:tcW w:w="8310" w:type="dxa"/>
          </w:tcPr>
          <w:p w:rsidR="007F1065" w:rsidRDefault="007F1065" w:rsidP="007762DC">
            <w:pPr>
              <w:pStyle w:val="KeinLeerraum"/>
              <w:contextualSpacing/>
              <w:rPr>
                <w:lang w:val="fr-FR"/>
              </w:rPr>
            </w:pPr>
            <w:r>
              <w:rPr>
                <w:lang w:val="fr-FR"/>
              </w:rPr>
              <w:t>Cherenkov Telescope Array</w:t>
            </w:r>
          </w:p>
        </w:tc>
      </w:tr>
      <w:tr w:rsidR="00980A22" w:rsidRPr="00C30A3A" w:rsidTr="007E6646">
        <w:tc>
          <w:tcPr>
            <w:tcW w:w="1885" w:type="dxa"/>
          </w:tcPr>
          <w:p w:rsidR="00980A22" w:rsidRDefault="00980A22" w:rsidP="007762DC">
            <w:pPr>
              <w:pStyle w:val="KeinLeerraum"/>
              <w:contextualSpacing/>
              <w:rPr>
                <w:lang w:val="en-CA"/>
              </w:rPr>
            </w:pPr>
            <w:r>
              <w:rPr>
                <w:lang w:val="en-CA"/>
              </w:rPr>
              <w:t>DESIR</w:t>
            </w:r>
          </w:p>
        </w:tc>
        <w:tc>
          <w:tcPr>
            <w:tcW w:w="8310" w:type="dxa"/>
          </w:tcPr>
          <w:p w:rsidR="00980A22" w:rsidRDefault="00980A22" w:rsidP="007762DC">
            <w:pPr>
              <w:pStyle w:val="KeinLeerraum"/>
              <w:contextualSpacing/>
              <w:rPr>
                <w:lang w:val="fr-FR"/>
              </w:rPr>
            </w:pPr>
            <w:r>
              <w:rPr>
                <w:lang w:val="fr-FR"/>
              </w:rPr>
              <w:t>The low-energy beam line at GANIL-SPIRAL2</w:t>
            </w:r>
          </w:p>
        </w:tc>
      </w:tr>
      <w:tr w:rsidR="00D1617E" w:rsidRPr="00C30A3A" w:rsidTr="007E6646">
        <w:tc>
          <w:tcPr>
            <w:tcW w:w="1885" w:type="dxa"/>
          </w:tcPr>
          <w:p w:rsidR="00D1617E" w:rsidRDefault="00D1617E" w:rsidP="007762DC">
            <w:pPr>
              <w:pStyle w:val="KeinLeerraum"/>
              <w:contextualSpacing/>
              <w:rPr>
                <w:lang w:val="en-CA"/>
              </w:rPr>
            </w:pPr>
            <w:r>
              <w:rPr>
                <w:lang w:val="en-CA"/>
              </w:rPr>
              <w:t>EDMS</w:t>
            </w:r>
          </w:p>
        </w:tc>
        <w:tc>
          <w:tcPr>
            <w:tcW w:w="8310" w:type="dxa"/>
          </w:tcPr>
          <w:p w:rsidR="00D1617E" w:rsidRDefault="001349BF" w:rsidP="007762DC">
            <w:pPr>
              <w:pStyle w:val="KeinLeerraum"/>
              <w:contextualSpacing/>
              <w:rPr>
                <w:lang w:val="fr-FR"/>
              </w:rPr>
            </w:pPr>
            <w:r>
              <w:rPr>
                <w:lang w:val="fr-FR"/>
              </w:rPr>
              <w:t>Electronic Document Management Service, or one of its clones.</w:t>
            </w:r>
          </w:p>
        </w:tc>
      </w:tr>
      <w:tr w:rsidR="00CA791B" w:rsidRPr="00C30A3A" w:rsidTr="007E6646">
        <w:tc>
          <w:tcPr>
            <w:tcW w:w="1885" w:type="dxa"/>
          </w:tcPr>
          <w:p w:rsidR="00CA791B" w:rsidRDefault="00CA791B" w:rsidP="007762DC">
            <w:pPr>
              <w:pStyle w:val="KeinLeerraum"/>
              <w:contextualSpacing/>
              <w:rPr>
                <w:lang w:val="en-CA"/>
              </w:rPr>
            </w:pPr>
            <w:r>
              <w:rPr>
                <w:lang w:val="en-CA"/>
              </w:rPr>
              <w:t>ERIC</w:t>
            </w:r>
          </w:p>
        </w:tc>
        <w:tc>
          <w:tcPr>
            <w:tcW w:w="8310" w:type="dxa"/>
          </w:tcPr>
          <w:p w:rsidR="00CA791B" w:rsidRPr="00D90604" w:rsidRDefault="00D90604" w:rsidP="007762DC">
            <w:pPr>
              <w:pStyle w:val="KeinLeerraum"/>
              <w:contextualSpacing/>
              <w:rPr>
                <w:lang w:val="fr-FR"/>
              </w:rPr>
            </w:pPr>
            <w:r w:rsidRPr="00D90604">
              <w:rPr>
                <w:bCs/>
              </w:rPr>
              <w:t>European Research Infrastructure Consortium</w:t>
            </w:r>
          </w:p>
        </w:tc>
      </w:tr>
      <w:tr w:rsidR="007F1065" w:rsidRPr="00C30A3A" w:rsidTr="007E6646">
        <w:tc>
          <w:tcPr>
            <w:tcW w:w="1885" w:type="dxa"/>
          </w:tcPr>
          <w:p w:rsidR="007F1065" w:rsidRDefault="007F1065" w:rsidP="007762DC">
            <w:pPr>
              <w:pStyle w:val="KeinLeerraum"/>
              <w:contextualSpacing/>
              <w:rPr>
                <w:lang w:val="en-CA"/>
              </w:rPr>
            </w:pPr>
            <w:r>
              <w:rPr>
                <w:lang w:val="en-CA"/>
              </w:rPr>
              <w:t>ESA</w:t>
            </w:r>
          </w:p>
        </w:tc>
        <w:tc>
          <w:tcPr>
            <w:tcW w:w="8310" w:type="dxa"/>
          </w:tcPr>
          <w:p w:rsidR="007F1065" w:rsidRDefault="007F1065" w:rsidP="007762DC">
            <w:pPr>
              <w:pStyle w:val="KeinLeerraum"/>
              <w:contextualSpacing/>
              <w:rPr>
                <w:lang w:val="fr-FR"/>
              </w:rPr>
            </w:pPr>
            <w:r>
              <w:rPr>
                <w:lang w:val="fr-FR"/>
              </w:rPr>
              <w:t>European Space Agency</w:t>
            </w:r>
          </w:p>
        </w:tc>
      </w:tr>
      <w:tr w:rsidR="007F1065" w:rsidRPr="00C30A3A" w:rsidTr="007E6646">
        <w:tc>
          <w:tcPr>
            <w:tcW w:w="1885" w:type="dxa"/>
          </w:tcPr>
          <w:p w:rsidR="007F1065" w:rsidRDefault="007F1065" w:rsidP="007762DC">
            <w:pPr>
              <w:pStyle w:val="KeinLeerraum"/>
              <w:contextualSpacing/>
              <w:rPr>
                <w:lang w:val="en-CA"/>
              </w:rPr>
            </w:pPr>
            <w:r>
              <w:rPr>
                <w:lang w:val="en-CA"/>
              </w:rPr>
              <w:t>ESS</w:t>
            </w:r>
          </w:p>
        </w:tc>
        <w:tc>
          <w:tcPr>
            <w:tcW w:w="8310" w:type="dxa"/>
          </w:tcPr>
          <w:p w:rsidR="007F1065" w:rsidRDefault="007F1065" w:rsidP="007762DC">
            <w:pPr>
              <w:pStyle w:val="KeinLeerraum"/>
              <w:contextualSpacing/>
              <w:rPr>
                <w:lang w:val="fr-FR"/>
              </w:rPr>
            </w:pPr>
            <w:r>
              <w:rPr>
                <w:lang w:val="fr-FR"/>
              </w:rPr>
              <w:t>European Spallation Source</w:t>
            </w:r>
          </w:p>
        </w:tc>
      </w:tr>
      <w:tr w:rsidR="00555934" w:rsidRPr="00C30A3A" w:rsidTr="007E6646">
        <w:tc>
          <w:tcPr>
            <w:tcW w:w="1885" w:type="dxa"/>
          </w:tcPr>
          <w:p w:rsidR="00555934" w:rsidRDefault="00555934" w:rsidP="007762DC">
            <w:pPr>
              <w:pStyle w:val="KeinLeerraum"/>
              <w:contextualSpacing/>
              <w:rPr>
                <w:lang w:val="en-CA"/>
              </w:rPr>
            </w:pPr>
            <w:r>
              <w:rPr>
                <w:lang w:val="en-CA"/>
              </w:rPr>
              <w:t>EU</w:t>
            </w:r>
          </w:p>
        </w:tc>
        <w:tc>
          <w:tcPr>
            <w:tcW w:w="8310" w:type="dxa"/>
          </w:tcPr>
          <w:p w:rsidR="00555934" w:rsidRDefault="00555934" w:rsidP="007762DC">
            <w:pPr>
              <w:pStyle w:val="KeinLeerraum"/>
              <w:contextualSpacing/>
              <w:rPr>
                <w:lang w:val="fr-FR"/>
              </w:rPr>
            </w:pPr>
            <w:r>
              <w:rPr>
                <w:lang w:val="fr-FR"/>
              </w:rPr>
              <w:t>The European Union</w:t>
            </w:r>
          </w:p>
        </w:tc>
      </w:tr>
      <w:tr w:rsidR="007F1065" w:rsidRPr="00C30A3A" w:rsidTr="007E6646">
        <w:tc>
          <w:tcPr>
            <w:tcW w:w="1885" w:type="dxa"/>
          </w:tcPr>
          <w:p w:rsidR="007F1065" w:rsidRDefault="007F1065" w:rsidP="007762DC">
            <w:pPr>
              <w:pStyle w:val="KeinLeerraum"/>
              <w:contextualSpacing/>
              <w:rPr>
                <w:lang w:val="en-CA"/>
              </w:rPr>
            </w:pPr>
            <w:r>
              <w:rPr>
                <w:lang w:val="en-CA"/>
              </w:rPr>
              <w:t>European XFEL</w:t>
            </w:r>
          </w:p>
        </w:tc>
        <w:tc>
          <w:tcPr>
            <w:tcW w:w="8310" w:type="dxa"/>
          </w:tcPr>
          <w:p w:rsidR="007F1065" w:rsidRDefault="007F1065" w:rsidP="007762DC">
            <w:pPr>
              <w:pStyle w:val="KeinLeerraum"/>
              <w:contextualSpacing/>
              <w:rPr>
                <w:lang w:val="fr-FR"/>
              </w:rPr>
            </w:pPr>
            <w:r>
              <w:rPr>
                <w:lang w:val="fr-FR"/>
              </w:rPr>
              <w:t>European x-ray free electron laser</w:t>
            </w:r>
          </w:p>
        </w:tc>
      </w:tr>
      <w:tr w:rsidR="007F1065" w:rsidRPr="00C30A3A" w:rsidTr="007E6646">
        <w:tc>
          <w:tcPr>
            <w:tcW w:w="1885" w:type="dxa"/>
          </w:tcPr>
          <w:p w:rsidR="007F1065" w:rsidRDefault="007F1065" w:rsidP="007762DC">
            <w:pPr>
              <w:pStyle w:val="KeinLeerraum"/>
              <w:contextualSpacing/>
              <w:rPr>
                <w:lang w:val="en-CA"/>
              </w:rPr>
            </w:pPr>
            <w:r>
              <w:rPr>
                <w:lang w:val="en-CA"/>
              </w:rPr>
              <w:t>F4E</w:t>
            </w:r>
          </w:p>
        </w:tc>
        <w:tc>
          <w:tcPr>
            <w:tcW w:w="8310" w:type="dxa"/>
          </w:tcPr>
          <w:p w:rsidR="007F1065" w:rsidRDefault="007F1065" w:rsidP="007762DC">
            <w:pPr>
              <w:pStyle w:val="KeinLeerraum"/>
              <w:contextualSpacing/>
              <w:rPr>
                <w:lang w:val="fr-FR"/>
              </w:rPr>
            </w:pPr>
            <w:r>
              <w:rPr>
                <w:lang w:val="fr-FR"/>
              </w:rPr>
              <w:t>Fusion for Energy, the European domestic agency of Iter</w:t>
            </w:r>
          </w:p>
        </w:tc>
      </w:tr>
      <w:tr w:rsidR="00FC1336" w:rsidRPr="00C30A3A" w:rsidTr="007E6646">
        <w:tc>
          <w:tcPr>
            <w:tcW w:w="1885" w:type="dxa"/>
          </w:tcPr>
          <w:p w:rsidR="00FC1336" w:rsidRDefault="00FC1336" w:rsidP="007762DC">
            <w:pPr>
              <w:pStyle w:val="KeinLeerraum"/>
              <w:contextualSpacing/>
              <w:rPr>
                <w:lang w:val="en-CA"/>
              </w:rPr>
            </w:pPr>
            <w:r>
              <w:rPr>
                <w:lang w:val="en-CA"/>
              </w:rPr>
              <w:t>FAIR</w:t>
            </w:r>
          </w:p>
        </w:tc>
        <w:tc>
          <w:tcPr>
            <w:tcW w:w="8310" w:type="dxa"/>
          </w:tcPr>
          <w:p w:rsidR="00FC1336" w:rsidRPr="008E6427" w:rsidRDefault="00FC1336" w:rsidP="007762DC">
            <w:pPr>
              <w:pStyle w:val="KeinLeerraum"/>
              <w:contextualSpacing/>
              <w:rPr>
                <w:lang w:val="fr-FR"/>
              </w:rPr>
            </w:pPr>
            <w:r>
              <w:rPr>
                <w:lang w:val="fr-FR"/>
              </w:rPr>
              <w:t>The Facility for Antiproton and Ion Research in Europe GmbH</w:t>
            </w:r>
          </w:p>
        </w:tc>
      </w:tr>
      <w:tr w:rsidR="00FC1336" w:rsidRPr="00C30A3A" w:rsidTr="007E6646">
        <w:tc>
          <w:tcPr>
            <w:tcW w:w="1885" w:type="dxa"/>
          </w:tcPr>
          <w:p w:rsidR="00FC1336" w:rsidRDefault="00FC1336" w:rsidP="007762DC">
            <w:pPr>
              <w:pStyle w:val="KeinLeerraum"/>
              <w:contextualSpacing/>
              <w:rPr>
                <w:lang w:val="en-CA"/>
              </w:rPr>
            </w:pPr>
            <w:r>
              <w:rPr>
                <w:lang w:val="en-CA"/>
              </w:rPr>
              <w:t>FTE</w:t>
            </w:r>
          </w:p>
        </w:tc>
        <w:tc>
          <w:tcPr>
            <w:tcW w:w="8310" w:type="dxa"/>
          </w:tcPr>
          <w:p w:rsidR="00FC1336" w:rsidRPr="008E6427" w:rsidRDefault="00FC1336" w:rsidP="007762DC">
            <w:pPr>
              <w:pStyle w:val="KeinLeerraum"/>
              <w:contextualSpacing/>
              <w:rPr>
                <w:lang w:val="fr-FR"/>
              </w:rPr>
            </w:pPr>
            <w:r>
              <w:rPr>
                <w:lang w:val="fr-FR"/>
              </w:rPr>
              <w:t>Full-time-equivalent : the amount of labour one person would do in one year</w:t>
            </w:r>
          </w:p>
        </w:tc>
      </w:tr>
      <w:tr w:rsidR="00B22B25" w:rsidRPr="00C30A3A" w:rsidTr="007E6646">
        <w:tc>
          <w:tcPr>
            <w:tcW w:w="1885" w:type="dxa"/>
          </w:tcPr>
          <w:p w:rsidR="00B22B25" w:rsidRDefault="00B22B25" w:rsidP="007762DC">
            <w:pPr>
              <w:pStyle w:val="KeinLeerraum"/>
              <w:contextualSpacing/>
              <w:rPr>
                <w:lang w:val="en-CA"/>
              </w:rPr>
            </w:pPr>
            <w:r>
              <w:rPr>
                <w:lang w:val="en-CA"/>
              </w:rPr>
              <w:t>FZJ</w:t>
            </w:r>
          </w:p>
        </w:tc>
        <w:tc>
          <w:tcPr>
            <w:tcW w:w="8310" w:type="dxa"/>
          </w:tcPr>
          <w:p w:rsidR="00B22B25" w:rsidRDefault="00B22B25" w:rsidP="007762DC">
            <w:pPr>
              <w:pStyle w:val="KeinLeerraum"/>
              <w:contextualSpacing/>
              <w:rPr>
                <w:lang w:val="fr-FR"/>
              </w:rPr>
            </w:pPr>
            <w:r>
              <w:rPr>
                <w:lang w:val="fr-FR"/>
              </w:rPr>
              <w:t>Forschungszentrum Jülich</w:t>
            </w:r>
          </w:p>
        </w:tc>
      </w:tr>
      <w:tr w:rsidR="008E6427" w:rsidRPr="00C30A3A" w:rsidTr="007E6646">
        <w:tc>
          <w:tcPr>
            <w:tcW w:w="1885" w:type="dxa"/>
          </w:tcPr>
          <w:p w:rsidR="008E6427" w:rsidRDefault="001F4E3D" w:rsidP="007762DC">
            <w:pPr>
              <w:pStyle w:val="KeinLeerraum"/>
              <w:contextualSpacing/>
              <w:rPr>
                <w:lang w:val="en-CA"/>
              </w:rPr>
            </w:pPr>
            <w:r>
              <w:rPr>
                <w:lang w:val="en-CA"/>
              </w:rPr>
              <w:t>GANIL</w:t>
            </w:r>
          </w:p>
        </w:tc>
        <w:tc>
          <w:tcPr>
            <w:tcW w:w="8310" w:type="dxa"/>
          </w:tcPr>
          <w:p w:rsidR="008E6427" w:rsidRPr="008E6427" w:rsidRDefault="00FC1336" w:rsidP="007762DC">
            <w:pPr>
              <w:pStyle w:val="KeinLeerraum"/>
              <w:contextualSpacing/>
              <w:rPr>
                <w:lang w:val="fr-FR"/>
              </w:rPr>
            </w:pPr>
            <w:r>
              <w:rPr>
                <w:lang w:val="fr-FR"/>
              </w:rPr>
              <w:t>Grand Accelerateur National d’Ions Lourds</w:t>
            </w:r>
          </w:p>
        </w:tc>
      </w:tr>
      <w:tr w:rsidR="008E6427" w:rsidRPr="008E6427" w:rsidTr="007E6646">
        <w:tc>
          <w:tcPr>
            <w:tcW w:w="1885" w:type="dxa"/>
          </w:tcPr>
          <w:p w:rsidR="008E6427" w:rsidRPr="008E6427" w:rsidRDefault="00FC1336" w:rsidP="007762DC">
            <w:pPr>
              <w:pStyle w:val="KeinLeerraum"/>
              <w:contextualSpacing/>
              <w:rPr>
                <w:lang w:val="fr-FR"/>
              </w:rPr>
            </w:pPr>
            <w:r>
              <w:rPr>
                <w:lang w:val="fr-FR"/>
              </w:rPr>
              <w:t>GIE</w:t>
            </w:r>
          </w:p>
        </w:tc>
        <w:tc>
          <w:tcPr>
            <w:tcW w:w="8310" w:type="dxa"/>
          </w:tcPr>
          <w:p w:rsidR="008E6427" w:rsidRPr="008E6427" w:rsidRDefault="00FC1336" w:rsidP="007762DC">
            <w:pPr>
              <w:pStyle w:val="KeinLeerraum"/>
              <w:contextualSpacing/>
            </w:pPr>
            <w:r>
              <w:t>Contrat Constitutif Groupement d’Intérêt Economique GANIL</w:t>
            </w:r>
          </w:p>
        </w:tc>
      </w:tr>
      <w:tr w:rsidR="008E6427" w:rsidRPr="002358E8" w:rsidTr="007E6646">
        <w:tc>
          <w:tcPr>
            <w:tcW w:w="1885" w:type="dxa"/>
          </w:tcPr>
          <w:p w:rsidR="008E6427" w:rsidRDefault="001F4E3D" w:rsidP="007762DC">
            <w:pPr>
              <w:pStyle w:val="KeinLeerraum"/>
              <w:contextualSpacing/>
            </w:pPr>
            <w:r>
              <w:t>GSI</w:t>
            </w:r>
          </w:p>
        </w:tc>
        <w:tc>
          <w:tcPr>
            <w:tcW w:w="8310" w:type="dxa"/>
          </w:tcPr>
          <w:p w:rsidR="008E6427" w:rsidRPr="008C6A6C" w:rsidRDefault="00FC1336" w:rsidP="007762DC">
            <w:pPr>
              <w:pStyle w:val="KeinLeerraum"/>
              <w:contextualSpacing/>
              <w:rPr>
                <w:lang w:val="fr-FR"/>
              </w:rPr>
            </w:pPr>
            <w:r>
              <w:rPr>
                <w:lang w:val="fr-FR"/>
              </w:rPr>
              <w:t>Die Gesellschaft für Schwerionenforschung GmbH</w:t>
            </w:r>
          </w:p>
        </w:tc>
      </w:tr>
      <w:tr w:rsidR="00114CC0" w:rsidRPr="002424EF" w:rsidTr="007E6646">
        <w:tc>
          <w:tcPr>
            <w:tcW w:w="1885" w:type="dxa"/>
          </w:tcPr>
          <w:p w:rsidR="00114CC0" w:rsidRDefault="00114CC0" w:rsidP="007762DC">
            <w:pPr>
              <w:pStyle w:val="KeinLeerraum"/>
              <w:contextualSpacing/>
            </w:pPr>
            <w:r>
              <w:t>GUEC</w:t>
            </w:r>
          </w:p>
        </w:tc>
        <w:tc>
          <w:tcPr>
            <w:tcW w:w="8310" w:type="dxa"/>
          </w:tcPr>
          <w:p w:rsidR="00114CC0" w:rsidRDefault="005677CF" w:rsidP="007762DC">
            <w:pPr>
              <w:pStyle w:val="KeinLeerraum"/>
              <w:contextualSpacing/>
              <w:rPr>
                <w:lang w:val="fr-FR"/>
              </w:rPr>
            </w:pPr>
            <w:r>
              <w:rPr>
                <w:lang w:val="fr-FR"/>
              </w:rPr>
              <w:t>GANIL users’ executive committee</w:t>
            </w:r>
          </w:p>
        </w:tc>
      </w:tr>
      <w:tr w:rsidR="00670956" w:rsidRPr="00FC1336" w:rsidTr="007E6646">
        <w:tc>
          <w:tcPr>
            <w:tcW w:w="1885" w:type="dxa"/>
          </w:tcPr>
          <w:p w:rsidR="00670956" w:rsidRDefault="00670956" w:rsidP="007762DC">
            <w:pPr>
              <w:pStyle w:val="KeinLeerraum"/>
              <w:contextualSpacing/>
            </w:pPr>
            <w:r>
              <w:t>HIP</w:t>
            </w:r>
          </w:p>
        </w:tc>
        <w:tc>
          <w:tcPr>
            <w:tcW w:w="8310" w:type="dxa"/>
          </w:tcPr>
          <w:p w:rsidR="00670956" w:rsidRDefault="00670956" w:rsidP="007762DC">
            <w:pPr>
              <w:pStyle w:val="KeinLeerraum"/>
              <w:contextualSpacing/>
              <w:rPr>
                <w:lang w:val="fr-FR"/>
              </w:rPr>
            </w:pPr>
            <w:r>
              <w:rPr>
                <w:lang w:val="fr-FR"/>
              </w:rPr>
              <w:t>Helsinki Institute of Physics</w:t>
            </w:r>
          </w:p>
        </w:tc>
      </w:tr>
      <w:tr w:rsidR="00A45AB9" w:rsidRPr="00FC1336" w:rsidTr="007E6646">
        <w:tc>
          <w:tcPr>
            <w:tcW w:w="1885" w:type="dxa"/>
          </w:tcPr>
          <w:p w:rsidR="00A45AB9" w:rsidRDefault="00A45AB9" w:rsidP="007762DC">
            <w:pPr>
              <w:pStyle w:val="KeinLeerraum"/>
              <w:contextualSpacing/>
            </w:pPr>
            <w:r>
              <w:t>HIPC</w:t>
            </w:r>
          </w:p>
        </w:tc>
        <w:tc>
          <w:tcPr>
            <w:tcW w:w="8310" w:type="dxa"/>
          </w:tcPr>
          <w:p w:rsidR="00A45AB9" w:rsidRDefault="00A45AB9" w:rsidP="007762DC">
            <w:pPr>
              <w:pStyle w:val="KeinLeerraum"/>
              <w:contextualSpacing/>
              <w:rPr>
                <w:lang w:val="fr-FR"/>
              </w:rPr>
            </w:pPr>
            <w:r>
              <w:rPr>
                <w:lang w:val="fr-FR"/>
              </w:rPr>
              <w:t>Harmonised Index of Consumer Prices (Eurostat)</w:t>
            </w:r>
          </w:p>
        </w:tc>
      </w:tr>
      <w:tr w:rsidR="00245539" w:rsidRPr="00245539" w:rsidTr="007E6646">
        <w:tc>
          <w:tcPr>
            <w:tcW w:w="1885" w:type="dxa"/>
          </w:tcPr>
          <w:p w:rsidR="00245539" w:rsidRDefault="00245539" w:rsidP="007762DC">
            <w:pPr>
              <w:pStyle w:val="KeinLeerraum"/>
              <w:contextualSpacing/>
            </w:pPr>
            <w:r>
              <w:t>IKBest4,IKBest5</w:t>
            </w:r>
          </w:p>
        </w:tc>
        <w:tc>
          <w:tcPr>
            <w:tcW w:w="8310" w:type="dxa"/>
          </w:tcPr>
          <w:p w:rsidR="00245539" w:rsidRDefault="00245539" w:rsidP="007762DC">
            <w:pPr>
              <w:pStyle w:val="KeinLeerraum"/>
              <w:contextualSpacing/>
              <w:rPr>
                <w:lang w:val="fr-FR"/>
              </w:rPr>
            </w:pPr>
            <w:r>
              <w:rPr>
                <w:lang w:val="fr-FR"/>
              </w:rPr>
              <w:t>The 4th and 5th in-kind best practice meetings, in 2018 and 2019 respectively.</w:t>
            </w:r>
          </w:p>
        </w:tc>
      </w:tr>
      <w:tr w:rsidR="008E6427" w:rsidRPr="008E6427" w:rsidTr="007E6646">
        <w:tc>
          <w:tcPr>
            <w:tcW w:w="1885" w:type="dxa"/>
          </w:tcPr>
          <w:p w:rsidR="008E6427" w:rsidRPr="008E6427" w:rsidRDefault="001F4E3D" w:rsidP="007762DC">
            <w:pPr>
              <w:pStyle w:val="KeinLeerraum"/>
              <w:contextualSpacing/>
            </w:pPr>
            <w:r>
              <w:t>IKC</w:t>
            </w:r>
          </w:p>
        </w:tc>
        <w:tc>
          <w:tcPr>
            <w:tcW w:w="8310" w:type="dxa"/>
          </w:tcPr>
          <w:p w:rsidR="008E6427" w:rsidRPr="008E6427" w:rsidRDefault="00FC1336" w:rsidP="007762DC">
            <w:pPr>
              <w:pStyle w:val="KeinLeerraum"/>
              <w:contextualSpacing/>
            </w:pPr>
            <w:r>
              <w:t>In-kind contribution OR in-kind contract</w:t>
            </w:r>
          </w:p>
        </w:tc>
      </w:tr>
      <w:tr w:rsidR="008E6427" w:rsidRPr="008E6427" w:rsidTr="007E6646">
        <w:tc>
          <w:tcPr>
            <w:tcW w:w="1885" w:type="dxa"/>
          </w:tcPr>
          <w:p w:rsidR="008E6427" w:rsidRPr="008E6427" w:rsidRDefault="001F4E3D" w:rsidP="007762DC">
            <w:pPr>
              <w:pStyle w:val="KeinLeerraum"/>
              <w:contextualSpacing/>
            </w:pPr>
            <w:r>
              <w:t>IKRB</w:t>
            </w:r>
          </w:p>
        </w:tc>
        <w:tc>
          <w:tcPr>
            <w:tcW w:w="8310" w:type="dxa"/>
          </w:tcPr>
          <w:p w:rsidR="008E6427" w:rsidRPr="008E6427" w:rsidRDefault="00FC1336" w:rsidP="007762DC">
            <w:pPr>
              <w:pStyle w:val="KeinLeerraum"/>
              <w:contextualSpacing/>
            </w:pPr>
            <w:r>
              <w:t>In-kind review board</w:t>
            </w:r>
          </w:p>
        </w:tc>
      </w:tr>
      <w:tr w:rsidR="00555934" w:rsidRPr="008E6427" w:rsidTr="007E6646">
        <w:tc>
          <w:tcPr>
            <w:tcW w:w="1885" w:type="dxa"/>
          </w:tcPr>
          <w:p w:rsidR="00555934" w:rsidRDefault="00555934" w:rsidP="007762DC">
            <w:pPr>
              <w:pStyle w:val="KeinLeerraum"/>
              <w:contextualSpacing/>
            </w:pPr>
            <w:r>
              <w:t>IP</w:t>
            </w:r>
          </w:p>
        </w:tc>
        <w:tc>
          <w:tcPr>
            <w:tcW w:w="8310" w:type="dxa"/>
          </w:tcPr>
          <w:p w:rsidR="00555934" w:rsidRDefault="00555934" w:rsidP="007762DC">
            <w:pPr>
              <w:pStyle w:val="KeinLeerraum"/>
              <w:contextualSpacing/>
            </w:pPr>
            <w:r>
              <w:t>Intellectual property</w:t>
            </w:r>
          </w:p>
        </w:tc>
      </w:tr>
      <w:tr w:rsidR="00781C78" w:rsidRPr="008E6427" w:rsidTr="007E6646">
        <w:tc>
          <w:tcPr>
            <w:tcW w:w="1885" w:type="dxa"/>
          </w:tcPr>
          <w:p w:rsidR="00FC1336" w:rsidRDefault="00670956" w:rsidP="007762DC">
            <w:pPr>
              <w:pStyle w:val="KeinLeerraum"/>
              <w:contextualSpacing/>
            </w:pPr>
            <w:r>
              <w:t>NUSTAR</w:t>
            </w:r>
          </w:p>
        </w:tc>
        <w:tc>
          <w:tcPr>
            <w:tcW w:w="8310" w:type="dxa"/>
          </w:tcPr>
          <w:p w:rsidR="00781C78" w:rsidRDefault="00670956" w:rsidP="007762DC">
            <w:pPr>
              <w:pStyle w:val="KeinLeerraum"/>
              <w:contextualSpacing/>
            </w:pPr>
            <w:r>
              <w:t>The collaboration for Nuclear Structure, Astrophysics and Reactions at FAIR</w:t>
            </w:r>
          </w:p>
        </w:tc>
      </w:tr>
      <w:tr w:rsidR="00A5731E" w:rsidRPr="008E6427" w:rsidTr="007E6646">
        <w:tc>
          <w:tcPr>
            <w:tcW w:w="1885" w:type="dxa"/>
          </w:tcPr>
          <w:p w:rsidR="00A5731E" w:rsidRDefault="00A5731E" w:rsidP="007762DC">
            <w:pPr>
              <w:pStyle w:val="KeinLeerraum"/>
              <w:contextualSpacing/>
            </w:pPr>
            <w:r>
              <w:t>SESAME</w:t>
            </w:r>
          </w:p>
        </w:tc>
        <w:tc>
          <w:tcPr>
            <w:tcW w:w="8310" w:type="dxa"/>
          </w:tcPr>
          <w:p w:rsidR="00A5731E" w:rsidRDefault="00A5731E" w:rsidP="007762DC">
            <w:pPr>
              <w:pStyle w:val="KeinLeerraum"/>
              <w:contextualSpacing/>
            </w:pPr>
            <w:r>
              <w:t>Synchrotron light for Experimental Science and Applications in the Middle East</w:t>
            </w:r>
          </w:p>
        </w:tc>
      </w:tr>
      <w:tr w:rsidR="00BD416D" w:rsidRPr="008E6427" w:rsidTr="007E6646">
        <w:tc>
          <w:tcPr>
            <w:tcW w:w="1885" w:type="dxa"/>
          </w:tcPr>
          <w:p w:rsidR="00BD416D" w:rsidRDefault="00BD416D" w:rsidP="007762DC">
            <w:pPr>
              <w:pStyle w:val="KeinLeerraum"/>
              <w:contextualSpacing/>
            </w:pPr>
            <w:r>
              <w:t>SLAC</w:t>
            </w:r>
          </w:p>
        </w:tc>
        <w:tc>
          <w:tcPr>
            <w:tcW w:w="8310" w:type="dxa"/>
          </w:tcPr>
          <w:p w:rsidR="00BD416D" w:rsidRDefault="007E6646" w:rsidP="007762DC">
            <w:pPr>
              <w:pStyle w:val="KeinLeerraum"/>
              <w:contextualSpacing/>
            </w:pPr>
            <w:r>
              <w:t>Stanford linear accelerator</w:t>
            </w:r>
          </w:p>
        </w:tc>
      </w:tr>
      <w:tr w:rsidR="00245539" w:rsidRPr="008E6427" w:rsidTr="007E6646">
        <w:tc>
          <w:tcPr>
            <w:tcW w:w="1885" w:type="dxa"/>
          </w:tcPr>
          <w:p w:rsidR="00245539" w:rsidRDefault="005B0CE6" w:rsidP="007762DC">
            <w:pPr>
              <w:pStyle w:val="KeinLeerraum"/>
              <w:contextualSpacing/>
            </w:pPr>
            <w:r>
              <w:t>WP</w:t>
            </w:r>
          </w:p>
        </w:tc>
        <w:tc>
          <w:tcPr>
            <w:tcW w:w="8310" w:type="dxa"/>
          </w:tcPr>
          <w:p w:rsidR="00245539" w:rsidRDefault="005B0CE6" w:rsidP="007762DC">
            <w:pPr>
              <w:pStyle w:val="KeinLeerraum"/>
              <w:contextualSpacing/>
            </w:pPr>
            <w:r>
              <w:t>Work package</w:t>
            </w:r>
          </w:p>
        </w:tc>
      </w:tr>
    </w:tbl>
    <w:p w:rsidR="00B10FE5" w:rsidRPr="008C6A6C" w:rsidRDefault="00B10FE5" w:rsidP="007762DC">
      <w:pPr>
        <w:contextualSpacing/>
        <w:jc w:val="center"/>
        <w:rPr>
          <w:b/>
          <w:u w:val="single"/>
          <w:lang w:val="fr-FR"/>
        </w:rPr>
      </w:pPr>
    </w:p>
    <w:p w:rsidR="0005386D" w:rsidRPr="008C6A6C" w:rsidRDefault="0005386D" w:rsidP="007762DC">
      <w:pPr>
        <w:contextualSpacing/>
        <w:rPr>
          <w:b/>
          <w:u w:val="single"/>
          <w:lang w:val="fr-FR"/>
        </w:rPr>
      </w:pPr>
      <w:r w:rsidRPr="008C6A6C">
        <w:rPr>
          <w:b/>
          <w:u w:val="single"/>
          <w:lang w:val="fr-FR"/>
        </w:rPr>
        <w:br w:type="page"/>
      </w:r>
    </w:p>
    <w:p w:rsidR="00AF2A43" w:rsidRPr="00B05407" w:rsidRDefault="0005386D" w:rsidP="001338FE">
      <w:pPr>
        <w:pStyle w:val="berschrift3"/>
        <w:contextualSpacing/>
        <w:rPr>
          <w:rFonts w:asciiTheme="minorHAnsi" w:hAnsiTheme="minorHAnsi" w:cs="Calibri"/>
          <w:sz w:val="32"/>
          <w:szCs w:val="22"/>
          <w:lang w:val="en-CA"/>
        </w:rPr>
      </w:pPr>
      <w:bookmarkStart w:id="23" w:name="_Toc532549087"/>
      <w:r w:rsidRPr="00B05407">
        <w:rPr>
          <w:rFonts w:asciiTheme="minorHAnsi" w:hAnsiTheme="minorHAnsi" w:cs="Calibri"/>
          <w:sz w:val="32"/>
          <w:szCs w:val="22"/>
          <w:lang w:val="en-CA"/>
        </w:rPr>
        <w:lastRenderedPageBreak/>
        <w:t>Executive Summary</w:t>
      </w:r>
      <w:bookmarkEnd w:id="23"/>
    </w:p>
    <w:p w:rsidR="00D32A06" w:rsidRPr="00B05407" w:rsidRDefault="00D32A06" w:rsidP="001338FE">
      <w:pPr>
        <w:contextualSpacing/>
        <w:rPr>
          <w:rFonts w:asciiTheme="minorHAnsi" w:hAnsiTheme="minorHAnsi" w:cs="Calibri"/>
          <w:lang w:val="en-CA"/>
        </w:rPr>
      </w:pPr>
    </w:p>
    <w:p w:rsidR="00667C67" w:rsidRPr="00B05407" w:rsidRDefault="00667C67" w:rsidP="001338FE">
      <w:pPr>
        <w:contextualSpacing/>
        <w:rPr>
          <w:rFonts w:asciiTheme="minorHAnsi" w:hAnsiTheme="minorHAnsi" w:cs="Calibri"/>
          <w:lang w:val="en-CA"/>
        </w:rPr>
      </w:pPr>
      <w:r w:rsidRPr="00B05407">
        <w:rPr>
          <w:rFonts w:asciiTheme="minorHAnsi" w:hAnsiTheme="minorHAnsi" w:cs="Calibri"/>
          <w:lang w:val="en-CA"/>
        </w:rPr>
        <w:t xml:space="preserve">We propose a bespoke in-kind model for GANIL-SPIRAL2 based on the existing structure and governance of the facility and </w:t>
      </w:r>
      <w:r w:rsidR="008D7FBC" w:rsidRPr="00B05407">
        <w:rPr>
          <w:rFonts w:asciiTheme="minorHAnsi" w:hAnsiTheme="minorHAnsi" w:cs="Calibri"/>
          <w:lang w:val="en-CA"/>
        </w:rPr>
        <w:t>the sliding scientific scope of the project.</w:t>
      </w:r>
    </w:p>
    <w:p w:rsidR="00C156EC" w:rsidRPr="00B05407" w:rsidRDefault="00C156EC" w:rsidP="001338FE">
      <w:pPr>
        <w:contextualSpacing/>
        <w:rPr>
          <w:rFonts w:asciiTheme="minorHAnsi" w:hAnsiTheme="minorHAnsi" w:cs="Calibri"/>
          <w:lang w:val="en-CA"/>
        </w:rPr>
      </w:pPr>
    </w:p>
    <w:p w:rsidR="00C156EC" w:rsidRPr="00B05407" w:rsidRDefault="00C156EC" w:rsidP="00C156EC">
      <w:pPr>
        <w:contextualSpacing/>
        <w:rPr>
          <w:rFonts w:asciiTheme="minorHAnsi" w:hAnsiTheme="minorHAnsi" w:cs="Calibri"/>
        </w:rPr>
      </w:pPr>
      <w:r w:rsidRPr="00B05407">
        <w:rPr>
          <w:rFonts w:asciiTheme="minorHAnsi" w:hAnsiTheme="minorHAnsi" w:cs="Calibri"/>
        </w:rPr>
        <w:t xml:space="preserve">We recommend that GANIL-SPIRAL2 put in place a well-defined process for in-kind calls, approvals and review. </w:t>
      </w:r>
    </w:p>
    <w:p w:rsidR="00C156EC" w:rsidRPr="00B05407" w:rsidRDefault="00C156EC" w:rsidP="00C156EC">
      <w:pPr>
        <w:contextualSpacing/>
        <w:rPr>
          <w:rFonts w:asciiTheme="minorHAnsi" w:hAnsiTheme="minorHAnsi" w:cs="Calibri"/>
        </w:rPr>
      </w:pPr>
      <w:r w:rsidRPr="00B05407">
        <w:rPr>
          <w:rFonts w:asciiTheme="minorHAnsi" w:hAnsiTheme="minorHAnsi" w:cs="Calibri"/>
        </w:rPr>
        <w:t>We suggest a review period of six months, and a committee, the in-kind review board (IKRB), to whom proposals and bids should be submitted. The IKRB would make decisions about the worthiness and priority of suggestions based on their scientific value alone.</w:t>
      </w:r>
    </w:p>
    <w:p w:rsidR="00C156EC" w:rsidRPr="00B05407" w:rsidRDefault="00C156EC" w:rsidP="00C156EC">
      <w:pPr>
        <w:contextualSpacing/>
        <w:rPr>
          <w:rFonts w:asciiTheme="minorHAnsi" w:hAnsiTheme="minorHAnsi" w:cs="Calibri"/>
        </w:rPr>
      </w:pPr>
    </w:p>
    <w:p w:rsidR="00C156EC" w:rsidRPr="00B05407" w:rsidRDefault="00C156EC" w:rsidP="00C156EC">
      <w:pPr>
        <w:contextualSpacing/>
        <w:rPr>
          <w:rFonts w:asciiTheme="minorHAnsi" w:hAnsiTheme="minorHAnsi" w:cs="Calibri"/>
        </w:rPr>
      </w:pPr>
      <w:r w:rsidRPr="00B05407">
        <w:rPr>
          <w:rFonts w:asciiTheme="minorHAnsi" w:hAnsiTheme="minorHAnsi" w:cs="Calibri"/>
        </w:rPr>
        <w:t>We recommend that SPIRAL2 adopt a cost book.</w:t>
      </w:r>
    </w:p>
    <w:p w:rsidR="00C156EC" w:rsidRPr="00B05407" w:rsidRDefault="00C156EC" w:rsidP="00C156EC">
      <w:pPr>
        <w:contextualSpacing/>
        <w:rPr>
          <w:rFonts w:asciiTheme="minorHAnsi" w:hAnsiTheme="minorHAnsi" w:cs="Calibri"/>
        </w:rPr>
      </w:pPr>
    </w:p>
    <w:p w:rsidR="00C156EC" w:rsidRPr="00B05407" w:rsidRDefault="00C156EC" w:rsidP="00C156EC">
      <w:pPr>
        <w:contextualSpacing/>
        <w:rPr>
          <w:rFonts w:asciiTheme="minorHAnsi" w:hAnsiTheme="minorHAnsi" w:cs="Calibri"/>
        </w:rPr>
      </w:pPr>
      <w:r w:rsidRPr="00B05407">
        <w:rPr>
          <w:rFonts w:asciiTheme="minorHAnsi" w:hAnsiTheme="minorHAnsi" w:cs="Calibri"/>
        </w:rPr>
        <w:t>Based on the outcome of the IKRB decisions, a second committee, the cost book working group (CBWG) would meet every six months to (re)assign in-kind values and resources, update the cost book, and pass scheduling decisions along to the project management. The CBWG should consider only resources, valorisation and scheduling.</w:t>
      </w:r>
    </w:p>
    <w:p w:rsidR="00C156EC" w:rsidRPr="00B05407" w:rsidRDefault="00C156EC" w:rsidP="00C156EC">
      <w:pPr>
        <w:contextualSpacing/>
        <w:rPr>
          <w:rFonts w:asciiTheme="minorHAnsi" w:hAnsiTheme="minorHAnsi" w:cs="Calibri"/>
        </w:rPr>
      </w:pPr>
    </w:p>
    <w:p w:rsidR="00C156EC" w:rsidRPr="00B05407" w:rsidRDefault="00C156EC" w:rsidP="00C156EC">
      <w:pPr>
        <w:contextualSpacing/>
        <w:rPr>
          <w:rFonts w:asciiTheme="minorHAnsi" w:hAnsiTheme="minorHAnsi" w:cs="Calibri"/>
        </w:rPr>
      </w:pPr>
      <w:r w:rsidRPr="00B05407">
        <w:rPr>
          <w:rFonts w:asciiTheme="minorHAnsi" w:hAnsiTheme="minorHAnsi" w:cs="Calibri"/>
        </w:rPr>
        <w:t>Both the IKRB and the CBWG should report to the existing bod</w:t>
      </w:r>
      <w:r w:rsidR="007F3C24" w:rsidRPr="00B05407">
        <w:rPr>
          <w:rFonts w:asciiTheme="minorHAnsi" w:hAnsiTheme="minorHAnsi" w:cs="Calibri"/>
        </w:rPr>
        <w:t>ies of GANIL (General Assembly and Comité de Direction, CODIR</w:t>
      </w:r>
      <w:r w:rsidRPr="00B05407">
        <w:rPr>
          <w:rFonts w:asciiTheme="minorHAnsi" w:hAnsiTheme="minorHAnsi" w:cs="Calibri"/>
        </w:rPr>
        <w:t>).</w:t>
      </w:r>
    </w:p>
    <w:p w:rsidR="00C156EC" w:rsidRPr="00B05407" w:rsidRDefault="00C156EC" w:rsidP="00C156EC">
      <w:pPr>
        <w:contextualSpacing/>
        <w:rPr>
          <w:rFonts w:asciiTheme="minorHAnsi" w:hAnsiTheme="minorHAnsi" w:cs="Calibri"/>
        </w:rPr>
      </w:pPr>
    </w:p>
    <w:p w:rsidR="00C156EC" w:rsidRPr="00B05407" w:rsidRDefault="00C156EC" w:rsidP="00C156EC">
      <w:pPr>
        <w:contextualSpacing/>
        <w:rPr>
          <w:rFonts w:asciiTheme="minorHAnsi" w:hAnsiTheme="minorHAnsi" w:cs="Calibri"/>
        </w:rPr>
      </w:pPr>
      <w:r w:rsidRPr="00B05407">
        <w:rPr>
          <w:rFonts w:asciiTheme="minorHAnsi" w:hAnsiTheme="minorHAnsi" w:cs="Calibri"/>
        </w:rPr>
        <w:t>We recommend that the cost book record the fair market value in Euro of each item or group of items as estimated by the CBWG. A cost point and a set of inflationary figures should be fixed in order to keep cost book values comparable over time. We suggest weighting factors to increase the attractiveness of “unattractive” in-kind items. We recommend fixing a conversion rate between FTE and Euro based on the French pay scale, which will allow accounting of material goods as well as services.</w:t>
      </w:r>
    </w:p>
    <w:p w:rsidR="00C156EC" w:rsidRPr="00B05407" w:rsidRDefault="00C156EC" w:rsidP="00C156EC">
      <w:pPr>
        <w:contextualSpacing/>
        <w:rPr>
          <w:rFonts w:asciiTheme="minorHAnsi" w:hAnsiTheme="minorHAnsi" w:cs="Calibri"/>
        </w:rPr>
      </w:pPr>
    </w:p>
    <w:p w:rsidR="00C156EC" w:rsidRPr="00B05407" w:rsidRDefault="00C156EC" w:rsidP="00C156EC">
      <w:pPr>
        <w:contextualSpacing/>
        <w:rPr>
          <w:rFonts w:asciiTheme="minorHAnsi" w:hAnsiTheme="minorHAnsi" w:cs="Calibri"/>
        </w:rPr>
      </w:pPr>
      <w:r w:rsidRPr="00B05407">
        <w:rPr>
          <w:rFonts w:asciiTheme="minorHAnsi" w:hAnsiTheme="minorHAnsi" w:cs="Calibri"/>
        </w:rPr>
        <w:t>We recommend that the GANIL General Assembly agree on an effective start date “SPIRAL2 day zero”</w:t>
      </w:r>
      <w:r w:rsidR="001F4B73" w:rsidRPr="00B05407">
        <w:rPr>
          <w:rFonts w:asciiTheme="minorHAnsi" w:hAnsiTheme="minorHAnsi" w:cs="Calibri"/>
        </w:rPr>
        <w:t xml:space="preserve"> </w:t>
      </w:r>
      <w:r w:rsidRPr="00B05407">
        <w:rPr>
          <w:rFonts w:asciiTheme="minorHAnsi" w:hAnsiTheme="minorHAnsi" w:cs="Calibri"/>
        </w:rPr>
        <w:t>or some other criterion by which it can be decided if a previous contribution to GANIL was made to the SPIRAL2 project or not. Past contributions that fit this criterion should be added to the cost book.</w:t>
      </w:r>
    </w:p>
    <w:p w:rsidR="00C156EC" w:rsidRPr="00B05407" w:rsidRDefault="00C156EC" w:rsidP="00C156EC">
      <w:pPr>
        <w:contextualSpacing/>
        <w:rPr>
          <w:rFonts w:asciiTheme="minorHAnsi" w:hAnsiTheme="minorHAnsi" w:cs="Calibri"/>
        </w:rPr>
      </w:pPr>
    </w:p>
    <w:p w:rsidR="00C156EC" w:rsidRPr="00B05407" w:rsidRDefault="00C156EC" w:rsidP="00C156EC">
      <w:pPr>
        <w:contextualSpacing/>
        <w:rPr>
          <w:rFonts w:asciiTheme="minorHAnsi" w:hAnsiTheme="minorHAnsi" w:cs="Calibri"/>
        </w:rPr>
      </w:pPr>
      <w:r w:rsidRPr="00B05407">
        <w:rPr>
          <w:rFonts w:asciiTheme="minorHAnsi" w:hAnsiTheme="minorHAnsi" w:cs="Calibri"/>
        </w:rPr>
        <w:t xml:space="preserve">We recommend that SPIRAL2 use </w:t>
      </w:r>
      <w:r w:rsidR="007F3C24" w:rsidRPr="00B05407">
        <w:rPr>
          <w:rFonts w:asciiTheme="minorHAnsi" w:hAnsiTheme="minorHAnsi" w:cs="Calibri"/>
        </w:rPr>
        <w:t>an electronic document management system like EDMS</w:t>
      </w:r>
      <w:r w:rsidRPr="00B05407">
        <w:rPr>
          <w:rFonts w:asciiTheme="minorHAnsi" w:hAnsiTheme="minorHAnsi" w:cs="Calibri"/>
        </w:rPr>
        <w:t xml:space="preserve"> to track and archive agreements, specifications, drawings, documentation, quality gates, timetabling, delivery, commissioning and decommissioning. </w:t>
      </w:r>
    </w:p>
    <w:p w:rsidR="001338FE" w:rsidRPr="00B05407" w:rsidRDefault="001338FE" w:rsidP="001338FE">
      <w:pPr>
        <w:contextualSpacing/>
        <w:rPr>
          <w:rFonts w:asciiTheme="minorHAnsi" w:hAnsiTheme="minorHAnsi" w:cs="Calibri"/>
          <w:lang w:val="en-CA"/>
        </w:rPr>
      </w:pPr>
    </w:p>
    <w:p w:rsidR="0005386D" w:rsidRPr="00B05407" w:rsidRDefault="00D6284F" w:rsidP="001338FE">
      <w:pPr>
        <w:contextualSpacing/>
        <w:rPr>
          <w:rFonts w:asciiTheme="minorHAnsi" w:hAnsiTheme="minorHAnsi" w:cs="Calibri"/>
          <w:lang w:val="en-CA"/>
        </w:rPr>
      </w:pPr>
      <w:r w:rsidRPr="00B05407">
        <w:rPr>
          <w:rFonts w:asciiTheme="minorHAnsi" w:hAnsiTheme="minorHAnsi" w:cs="Calibri"/>
          <w:lang w:val="en-CA"/>
        </w:rPr>
        <w:t>This report is a set of sugge</w:t>
      </w:r>
      <w:r w:rsidR="007F3C24" w:rsidRPr="00B05407">
        <w:rPr>
          <w:rFonts w:asciiTheme="minorHAnsi" w:hAnsiTheme="minorHAnsi" w:cs="Calibri"/>
          <w:lang w:val="en-CA"/>
        </w:rPr>
        <w:t>s</w:t>
      </w:r>
      <w:r w:rsidRPr="00B05407">
        <w:rPr>
          <w:rFonts w:asciiTheme="minorHAnsi" w:hAnsiTheme="minorHAnsi" w:cs="Calibri"/>
          <w:lang w:val="en-CA"/>
        </w:rPr>
        <w:t>t</w:t>
      </w:r>
      <w:r w:rsidR="007F3C24" w:rsidRPr="00B05407">
        <w:rPr>
          <w:rFonts w:asciiTheme="minorHAnsi" w:hAnsiTheme="minorHAnsi" w:cs="Calibri"/>
          <w:lang w:val="en-CA"/>
        </w:rPr>
        <w:t>ions to the GANIL directorate. Furthermore, we</w:t>
      </w:r>
      <w:r w:rsidRPr="00B05407">
        <w:rPr>
          <w:rFonts w:asciiTheme="minorHAnsi" w:hAnsiTheme="minorHAnsi" w:cs="Calibri"/>
          <w:lang w:val="en-CA"/>
        </w:rPr>
        <w:t xml:space="preserve"> suggest a period of consultation and implementation at GANIL in early 2019, in which the authors will discuss with </w:t>
      </w:r>
      <w:r w:rsidR="00710DA7" w:rsidRPr="00B05407">
        <w:rPr>
          <w:rFonts w:asciiTheme="minorHAnsi" w:hAnsiTheme="minorHAnsi" w:cs="Calibri"/>
          <w:lang w:val="en-CA"/>
        </w:rPr>
        <w:t xml:space="preserve">the Directors and other </w:t>
      </w:r>
      <w:r w:rsidRPr="00B05407">
        <w:rPr>
          <w:rFonts w:asciiTheme="minorHAnsi" w:hAnsiTheme="minorHAnsi" w:cs="Calibri"/>
          <w:lang w:val="en-CA"/>
        </w:rPr>
        <w:t>stakeholders, refine the model and pave the way for establishing the final model at GANIL.</w:t>
      </w:r>
    </w:p>
    <w:p w:rsidR="00242EB8" w:rsidRPr="00B05407" w:rsidRDefault="0005386D" w:rsidP="001338FE">
      <w:pPr>
        <w:pStyle w:val="berschrift3"/>
        <w:contextualSpacing/>
        <w:rPr>
          <w:rFonts w:asciiTheme="minorHAnsi" w:hAnsiTheme="minorHAnsi" w:cs="Calibri"/>
          <w:sz w:val="32"/>
          <w:szCs w:val="22"/>
          <w:lang w:val="fr-FR"/>
        </w:rPr>
      </w:pPr>
      <w:bookmarkStart w:id="24" w:name="_Toc532549088"/>
      <w:r w:rsidRPr="00B05407">
        <w:rPr>
          <w:rFonts w:asciiTheme="minorHAnsi" w:hAnsiTheme="minorHAnsi" w:cs="Calibri"/>
          <w:sz w:val="32"/>
          <w:szCs w:val="22"/>
          <w:lang w:val="fr-FR"/>
        </w:rPr>
        <w:t>Introduction</w:t>
      </w:r>
      <w:bookmarkEnd w:id="24"/>
    </w:p>
    <w:p w:rsidR="001F4E3D" w:rsidRPr="00B05407" w:rsidRDefault="001F4E3D" w:rsidP="001338FE">
      <w:pPr>
        <w:contextualSpacing/>
        <w:rPr>
          <w:rFonts w:asciiTheme="minorHAnsi" w:hAnsiTheme="minorHAnsi" w:cs="Calibri"/>
          <w:lang w:val="fr-FR"/>
        </w:rPr>
      </w:pPr>
    </w:p>
    <w:p w:rsidR="00AC2DFE" w:rsidRPr="00B05407" w:rsidRDefault="00245539" w:rsidP="001338FE">
      <w:pPr>
        <w:contextualSpacing/>
        <w:rPr>
          <w:rFonts w:asciiTheme="minorHAnsi" w:hAnsiTheme="minorHAnsi" w:cs="Calibri"/>
          <w:lang w:val="fr-FR"/>
        </w:rPr>
      </w:pPr>
      <w:r w:rsidRPr="00B05407">
        <w:rPr>
          <w:rFonts w:asciiTheme="minorHAnsi" w:hAnsiTheme="minorHAnsi" w:cs="Calibri"/>
          <w:lang w:val="fr-FR"/>
        </w:rPr>
        <w:t xml:space="preserve">For this report, the authors, who are based at </w:t>
      </w:r>
      <w:r w:rsidR="007F3C24" w:rsidRPr="00B05407">
        <w:rPr>
          <w:rFonts w:asciiTheme="minorHAnsi" w:hAnsiTheme="minorHAnsi" w:cs="Calibri"/>
          <w:lang w:val="fr-FR"/>
        </w:rPr>
        <w:t>th</w:t>
      </w:r>
      <w:r w:rsidR="00564E49" w:rsidRPr="00B05407">
        <w:rPr>
          <w:rFonts w:asciiTheme="minorHAnsi" w:hAnsiTheme="minorHAnsi" w:cs="Calibri"/>
          <w:lang w:val="fr-FR"/>
        </w:rPr>
        <w:t>e Facility for Antiproton and Io</w:t>
      </w:r>
      <w:r w:rsidR="007F3C24" w:rsidRPr="00B05407">
        <w:rPr>
          <w:rFonts w:asciiTheme="minorHAnsi" w:hAnsiTheme="minorHAnsi" w:cs="Calibri"/>
          <w:lang w:val="fr-FR"/>
        </w:rPr>
        <w:t>n Research in Europe (FAIR),</w:t>
      </w:r>
      <w:r w:rsidRPr="00B05407">
        <w:rPr>
          <w:rFonts w:asciiTheme="minorHAnsi" w:hAnsiTheme="minorHAnsi" w:cs="Calibri"/>
          <w:lang w:val="fr-FR"/>
        </w:rPr>
        <w:t xml:space="preserve"> spent 18 months comparing in-kind models across Europe. We participated in the Big Science B</w:t>
      </w:r>
      <w:r w:rsidR="00564E49" w:rsidRPr="00B05407">
        <w:rPr>
          <w:rFonts w:asciiTheme="minorHAnsi" w:hAnsiTheme="minorHAnsi" w:cs="Calibri"/>
          <w:lang w:val="fr-FR"/>
        </w:rPr>
        <w:t xml:space="preserve">usiness Forum </w:t>
      </w:r>
      <w:r w:rsidRPr="00B05407">
        <w:rPr>
          <w:rFonts w:asciiTheme="minorHAnsi" w:hAnsiTheme="minorHAnsi" w:cs="Calibri"/>
          <w:lang w:val="fr-FR"/>
        </w:rPr>
        <w:t>2018, where procurement best practice was discussed by 16 big science facilities in Europe, of which one was FAIR. We initiated administrative exchanges through the fourth international in-kind be</w:t>
      </w:r>
      <w:r w:rsidR="00564E49" w:rsidRPr="00B05407">
        <w:rPr>
          <w:rFonts w:asciiTheme="minorHAnsi" w:hAnsiTheme="minorHAnsi" w:cs="Calibri"/>
          <w:lang w:val="fr-FR"/>
        </w:rPr>
        <w:t>st practice meeting IKBest4, memoranda of understanding</w:t>
      </w:r>
      <w:r w:rsidRPr="00B05407">
        <w:rPr>
          <w:rFonts w:asciiTheme="minorHAnsi" w:hAnsiTheme="minorHAnsi" w:cs="Calibri"/>
          <w:lang w:val="fr-FR"/>
        </w:rPr>
        <w:t xml:space="preserve">s with ESA, CERN and F4E, off-record and on-record </w:t>
      </w:r>
      <w:r w:rsidRPr="00B05407">
        <w:rPr>
          <w:rFonts w:asciiTheme="minorHAnsi" w:hAnsiTheme="minorHAnsi" w:cs="Calibri"/>
          <w:lang w:val="fr-FR"/>
        </w:rPr>
        <w:lastRenderedPageBreak/>
        <w:t xml:space="preserve">meetings with collaboration partners, and informal resource exchange, such as the wiki </w:t>
      </w:r>
      <w:hyperlink r:id="rId13" w:history="1">
        <w:r w:rsidR="003D0912" w:rsidRPr="00B05407">
          <w:rPr>
            <w:rStyle w:val="Hyperlink"/>
            <w:rFonts w:asciiTheme="minorHAnsi" w:hAnsiTheme="minorHAnsi" w:cs="Calibri"/>
            <w:lang w:val="fr-FR"/>
          </w:rPr>
          <w:t>https://wiki.gsi.de/foswiki/bin/view/IKBestX</w:t>
        </w:r>
      </w:hyperlink>
      <w:r w:rsidR="003D0912" w:rsidRPr="00B05407">
        <w:rPr>
          <w:rFonts w:asciiTheme="minorHAnsi" w:hAnsiTheme="minorHAnsi" w:cs="Calibri"/>
          <w:lang w:val="fr-FR"/>
        </w:rPr>
        <w:t xml:space="preserve"> </w:t>
      </w:r>
      <w:r w:rsidR="00710DA7" w:rsidRPr="00B05407">
        <w:rPr>
          <w:rFonts w:asciiTheme="minorHAnsi" w:hAnsiTheme="minorHAnsi" w:cs="Calibri"/>
          <w:lang w:val="fr-FR"/>
        </w:rPr>
        <w:t>, as well as</w:t>
      </w:r>
      <w:r w:rsidR="00555934" w:rsidRPr="00B05407">
        <w:rPr>
          <w:rFonts w:asciiTheme="minorHAnsi" w:hAnsiTheme="minorHAnsi" w:cs="Calibri"/>
          <w:lang w:val="fr-FR"/>
        </w:rPr>
        <w:t xml:space="preserve"> a draft data protection declaration between EU and non-EU partners. A monitoring system, based on the one used at F4E, is being pilot-tested at NUSTAR and the Super fragment separator (Super-FRS) at FAIR. </w:t>
      </w:r>
    </w:p>
    <w:p w:rsidR="0071767B" w:rsidRPr="00B05407" w:rsidRDefault="0071767B" w:rsidP="001338FE">
      <w:pPr>
        <w:contextualSpacing/>
        <w:rPr>
          <w:rFonts w:asciiTheme="minorHAnsi" w:hAnsiTheme="minorHAnsi" w:cs="Calibri"/>
          <w:lang w:val="fr-FR"/>
        </w:rPr>
      </w:pPr>
    </w:p>
    <w:p w:rsidR="00245539" w:rsidRPr="00B05407" w:rsidRDefault="003B3A7A" w:rsidP="001338FE">
      <w:pPr>
        <w:contextualSpacing/>
        <w:rPr>
          <w:rFonts w:asciiTheme="minorHAnsi" w:hAnsiTheme="minorHAnsi" w:cs="Calibri"/>
          <w:lang w:val="fr-FR"/>
        </w:rPr>
      </w:pPr>
      <w:r w:rsidRPr="00B05407">
        <w:rPr>
          <w:rFonts w:asciiTheme="minorHAnsi" w:hAnsiTheme="minorHAnsi" w:cs="Calibri"/>
          <w:lang w:val="fr-FR"/>
        </w:rPr>
        <w:t xml:space="preserve">We consulted other big science </w:t>
      </w:r>
      <w:r w:rsidR="00B22B25" w:rsidRPr="00B05407">
        <w:rPr>
          <w:rFonts w:asciiTheme="minorHAnsi" w:hAnsiTheme="minorHAnsi" w:cs="Calibri"/>
          <w:lang w:val="fr-FR"/>
        </w:rPr>
        <w:t>facilities</w:t>
      </w:r>
      <w:r w:rsidRPr="00B05407">
        <w:rPr>
          <w:rFonts w:asciiTheme="minorHAnsi" w:hAnsiTheme="minorHAnsi" w:cs="Calibri"/>
          <w:lang w:val="fr-FR"/>
        </w:rPr>
        <w:t xml:space="preserve"> (</w:t>
      </w:r>
      <w:r w:rsidR="00B22B25" w:rsidRPr="00B05407">
        <w:rPr>
          <w:rFonts w:asciiTheme="minorHAnsi" w:hAnsiTheme="minorHAnsi" w:cs="Calibri"/>
          <w:lang w:val="fr-FR"/>
        </w:rPr>
        <w:t>CERN</w:t>
      </w:r>
      <w:r w:rsidRPr="00B05407">
        <w:rPr>
          <w:rFonts w:asciiTheme="minorHAnsi" w:hAnsiTheme="minorHAnsi" w:cs="Calibri"/>
          <w:lang w:val="fr-FR"/>
        </w:rPr>
        <w:t xml:space="preserve">, </w:t>
      </w:r>
      <w:r w:rsidR="00B22B25" w:rsidRPr="00B05407">
        <w:rPr>
          <w:rFonts w:asciiTheme="minorHAnsi" w:hAnsiTheme="minorHAnsi" w:cs="Calibri"/>
          <w:lang w:val="fr-FR"/>
        </w:rPr>
        <w:t xml:space="preserve">CTA, ESA, </w:t>
      </w:r>
      <w:r w:rsidRPr="00B05407">
        <w:rPr>
          <w:rFonts w:asciiTheme="minorHAnsi" w:hAnsiTheme="minorHAnsi" w:cs="Calibri"/>
          <w:lang w:val="fr-FR"/>
        </w:rPr>
        <w:t>ESS, European XFEL,</w:t>
      </w:r>
      <w:r w:rsidR="00B22B25" w:rsidRPr="00B05407">
        <w:rPr>
          <w:rFonts w:asciiTheme="minorHAnsi" w:hAnsiTheme="minorHAnsi" w:cs="Calibri"/>
          <w:lang w:val="fr-FR"/>
        </w:rPr>
        <w:t xml:space="preserve"> F4E, GANIL), certain of their shareholders (CEA, CNRS, the Rumanian and Danish Ministries of Science and Education, GSI) and certain providers (Pfeiffer Vacuum, BINP, FZJ, HIP and GSI), in consultations with salespeople, technicians and engineers, project managers, ministers, lawyers, research scientists, lobbyists and industrial liaison officers. We did this because we wanted to obtain as broad a picture as possible of the needs of all stakeholders</w:t>
      </w:r>
      <w:r w:rsidR="00AC2DFE" w:rsidRPr="00B05407">
        <w:rPr>
          <w:rFonts w:asciiTheme="minorHAnsi" w:hAnsiTheme="minorHAnsi" w:cs="Calibri"/>
          <w:lang w:val="fr-FR"/>
        </w:rPr>
        <w:t xml:space="preserve"> in proposing in-kind models for SPIRAL2. Off-record talks allowed us to learn from the past without putting current relationships at risk.</w:t>
      </w:r>
    </w:p>
    <w:p w:rsidR="007762DC" w:rsidRPr="00B05407" w:rsidRDefault="007762DC" w:rsidP="001338FE">
      <w:pPr>
        <w:contextualSpacing/>
        <w:rPr>
          <w:rFonts w:asciiTheme="minorHAnsi" w:hAnsiTheme="minorHAnsi" w:cs="Calibri"/>
          <w:lang w:val="fr-FR"/>
        </w:rPr>
      </w:pPr>
    </w:p>
    <w:p w:rsidR="00555934" w:rsidRPr="00B05407" w:rsidRDefault="00555934" w:rsidP="001338FE">
      <w:pPr>
        <w:contextualSpacing/>
        <w:rPr>
          <w:rFonts w:asciiTheme="minorHAnsi" w:hAnsiTheme="minorHAnsi" w:cs="Calibri"/>
          <w:lang w:val="fr-FR"/>
        </w:rPr>
      </w:pPr>
      <w:r w:rsidRPr="00B05407">
        <w:rPr>
          <w:rFonts w:asciiTheme="minorHAnsi" w:hAnsiTheme="minorHAnsi" w:cs="Calibri"/>
          <w:lang w:val="fr-FR"/>
        </w:rPr>
        <w:t xml:space="preserve">We considered topics as diverse as </w:t>
      </w:r>
      <w:r w:rsidR="00564E49" w:rsidRPr="00B05407">
        <w:rPr>
          <w:rFonts w:asciiTheme="minorHAnsi" w:hAnsiTheme="minorHAnsi" w:cs="Calibri"/>
          <w:lang w:val="fr-FR"/>
        </w:rPr>
        <w:t>export control</w:t>
      </w:r>
      <w:r w:rsidRPr="00B05407">
        <w:rPr>
          <w:rFonts w:asciiTheme="minorHAnsi" w:hAnsiTheme="minorHAnsi" w:cs="Calibri"/>
          <w:lang w:val="fr-FR"/>
        </w:rPr>
        <w:t xml:space="preserve">, </w:t>
      </w:r>
      <w:r w:rsidR="00AB25FB" w:rsidRPr="00B05407">
        <w:rPr>
          <w:rFonts w:asciiTheme="minorHAnsi" w:hAnsiTheme="minorHAnsi" w:cs="Calibri"/>
          <w:lang w:val="fr-FR"/>
        </w:rPr>
        <w:t xml:space="preserve">state-aid </w:t>
      </w:r>
      <w:r w:rsidR="00564E49" w:rsidRPr="00B05407">
        <w:rPr>
          <w:rFonts w:asciiTheme="minorHAnsi" w:hAnsiTheme="minorHAnsi" w:cs="Calibri"/>
          <w:lang w:val="fr-FR"/>
        </w:rPr>
        <w:t xml:space="preserve">and procurement law, </w:t>
      </w:r>
      <w:r w:rsidRPr="00B05407">
        <w:rPr>
          <w:rFonts w:asciiTheme="minorHAnsi" w:hAnsiTheme="minorHAnsi" w:cs="Calibri"/>
          <w:lang w:val="fr-FR"/>
        </w:rPr>
        <w:t xml:space="preserve">open science and intellectual property, </w:t>
      </w:r>
      <w:r w:rsidR="00AC2DFE" w:rsidRPr="00B05407">
        <w:rPr>
          <w:rFonts w:asciiTheme="minorHAnsi" w:hAnsiTheme="minorHAnsi" w:cs="Calibri"/>
          <w:lang w:val="fr-FR"/>
        </w:rPr>
        <w:t xml:space="preserve">product lifecycle management, </w:t>
      </w:r>
      <w:r w:rsidRPr="00B05407">
        <w:rPr>
          <w:rFonts w:asciiTheme="minorHAnsi" w:hAnsiTheme="minorHAnsi" w:cs="Calibri"/>
          <w:lang w:val="fr-FR"/>
        </w:rPr>
        <w:t xml:space="preserve">data protection, </w:t>
      </w:r>
      <w:r w:rsidR="00B01711" w:rsidRPr="00B05407">
        <w:rPr>
          <w:rFonts w:asciiTheme="minorHAnsi" w:hAnsiTheme="minorHAnsi" w:cs="Calibri"/>
          <w:lang w:val="fr-FR"/>
        </w:rPr>
        <w:t xml:space="preserve">postgraduate education, </w:t>
      </w:r>
      <w:r w:rsidRPr="00B05407">
        <w:rPr>
          <w:rFonts w:asciiTheme="minorHAnsi" w:hAnsiTheme="minorHAnsi" w:cs="Calibri"/>
          <w:lang w:val="fr-FR"/>
        </w:rPr>
        <w:t xml:space="preserve">warranty, quality documentation, market intelligence, technology transfer and costbook review. </w:t>
      </w:r>
      <w:r w:rsidR="005B0CE6" w:rsidRPr="00B05407">
        <w:rPr>
          <w:rFonts w:asciiTheme="minorHAnsi" w:hAnsiTheme="minorHAnsi" w:cs="Calibri"/>
          <w:lang w:val="fr-FR"/>
        </w:rPr>
        <w:t>Of course, these topics do n</w:t>
      </w:r>
      <w:r w:rsidR="007F3C24" w:rsidRPr="00B05407">
        <w:rPr>
          <w:rFonts w:asciiTheme="minorHAnsi" w:hAnsiTheme="minorHAnsi" w:cs="Calibri"/>
          <w:lang w:val="fr-FR"/>
        </w:rPr>
        <w:t>ot fall within the remit of WP 2</w:t>
      </w:r>
      <w:r w:rsidR="005B0CE6" w:rsidRPr="00B05407">
        <w:rPr>
          <w:rFonts w:asciiTheme="minorHAnsi" w:hAnsiTheme="minorHAnsi" w:cs="Calibri"/>
          <w:lang w:val="fr-FR"/>
        </w:rPr>
        <w:t xml:space="preserve"> task 3, but since they overlap onto in-kind contributions, we decided to take them into account at least superficially, to make sure the in-kind models we suggest in this report are compatible with the issues that are most likely to arise as SPIRAL2 progresses.</w:t>
      </w:r>
    </w:p>
    <w:p w:rsidR="007762DC" w:rsidRPr="00B05407" w:rsidRDefault="007762DC" w:rsidP="001338FE">
      <w:pPr>
        <w:contextualSpacing/>
        <w:rPr>
          <w:rFonts w:asciiTheme="minorHAnsi" w:hAnsiTheme="minorHAnsi" w:cs="Calibri"/>
          <w:lang w:val="fr-FR"/>
        </w:rPr>
      </w:pPr>
    </w:p>
    <w:p w:rsidR="00B01711" w:rsidRPr="00B05407" w:rsidRDefault="00D1756B" w:rsidP="001338FE">
      <w:pPr>
        <w:contextualSpacing/>
        <w:rPr>
          <w:rFonts w:asciiTheme="minorHAnsi" w:hAnsiTheme="minorHAnsi" w:cs="Calibri"/>
          <w:lang w:val="fr-FR"/>
        </w:rPr>
      </w:pPr>
      <w:r w:rsidRPr="00B05407">
        <w:rPr>
          <w:rFonts w:asciiTheme="minorHAnsi" w:hAnsiTheme="minorHAnsi" w:cs="Calibri"/>
          <w:lang w:val="fr-FR"/>
        </w:rPr>
        <w:t>The main proposals in this report will be discussed and developed during IKBest5 by a hand-picked panel of international experts. The findings will be passed on to the IDEAAL coordinator and the Directors of GANIL-SPIRAL2</w:t>
      </w:r>
      <w:r w:rsidR="002424EF" w:rsidRPr="00B05407">
        <w:rPr>
          <w:rFonts w:asciiTheme="minorHAnsi" w:hAnsiTheme="minorHAnsi" w:cs="Calibri"/>
          <w:lang w:val="fr-FR"/>
        </w:rPr>
        <w:t>, and do not constitute a part of this deliverable.</w:t>
      </w:r>
    </w:p>
    <w:p w:rsidR="007762DC" w:rsidRPr="00B05407" w:rsidRDefault="007762DC" w:rsidP="001338FE">
      <w:pPr>
        <w:contextualSpacing/>
        <w:rPr>
          <w:rFonts w:asciiTheme="minorHAnsi" w:hAnsiTheme="minorHAnsi" w:cs="Calibri"/>
          <w:lang w:val="fr-FR"/>
        </w:rPr>
      </w:pPr>
    </w:p>
    <w:p w:rsidR="00212401" w:rsidRPr="00B05407" w:rsidRDefault="001C520E" w:rsidP="001338FE">
      <w:pPr>
        <w:pStyle w:val="berschrift3"/>
        <w:contextualSpacing/>
        <w:rPr>
          <w:rFonts w:asciiTheme="minorHAnsi" w:hAnsiTheme="minorHAnsi" w:cs="Calibri"/>
          <w:sz w:val="32"/>
          <w:szCs w:val="22"/>
        </w:rPr>
      </w:pPr>
      <w:bookmarkStart w:id="25" w:name="_Toc532549089"/>
      <w:r w:rsidRPr="00B05407">
        <w:rPr>
          <w:rFonts w:asciiTheme="minorHAnsi" w:hAnsiTheme="minorHAnsi" w:cs="Calibri"/>
          <w:sz w:val="32"/>
          <w:szCs w:val="22"/>
        </w:rPr>
        <w:t>S</w:t>
      </w:r>
      <w:r w:rsidR="00C30A3A" w:rsidRPr="00B05407">
        <w:rPr>
          <w:rFonts w:asciiTheme="minorHAnsi" w:hAnsiTheme="minorHAnsi" w:cs="Calibri"/>
          <w:sz w:val="32"/>
          <w:szCs w:val="22"/>
        </w:rPr>
        <w:t>ection 1</w:t>
      </w:r>
      <w:r w:rsidR="00B01711" w:rsidRPr="00B05407">
        <w:rPr>
          <w:rFonts w:asciiTheme="minorHAnsi" w:hAnsiTheme="minorHAnsi" w:cs="Calibri"/>
          <w:sz w:val="32"/>
          <w:szCs w:val="22"/>
        </w:rPr>
        <w:t>:</w:t>
      </w:r>
      <w:r w:rsidR="00C30A3A" w:rsidRPr="00B05407">
        <w:rPr>
          <w:rFonts w:asciiTheme="minorHAnsi" w:hAnsiTheme="minorHAnsi" w:cs="Calibri"/>
          <w:sz w:val="32"/>
          <w:szCs w:val="22"/>
        </w:rPr>
        <w:t xml:space="preserve"> </w:t>
      </w:r>
      <w:r w:rsidR="00B01711" w:rsidRPr="00B05407">
        <w:rPr>
          <w:rFonts w:asciiTheme="minorHAnsi" w:hAnsiTheme="minorHAnsi" w:cs="Calibri"/>
          <w:sz w:val="32"/>
          <w:szCs w:val="22"/>
        </w:rPr>
        <w:t xml:space="preserve">In-kind </w:t>
      </w:r>
      <w:r w:rsidR="0088257C" w:rsidRPr="00B05407">
        <w:rPr>
          <w:rFonts w:asciiTheme="minorHAnsi" w:hAnsiTheme="minorHAnsi" w:cs="Calibri"/>
          <w:sz w:val="32"/>
          <w:szCs w:val="22"/>
        </w:rPr>
        <w:t>at</w:t>
      </w:r>
      <w:r w:rsidR="00B01711" w:rsidRPr="00B05407">
        <w:rPr>
          <w:rFonts w:asciiTheme="minorHAnsi" w:hAnsiTheme="minorHAnsi" w:cs="Calibri"/>
          <w:sz w:val="32"/>
          <w:szCs w:val="22"/>
        </w:rPr>
        <w:t xml:space="preserve"> GANIL-SPIRAL2: list of ingredients</w:t>
      </w:r>
      <w:bookmarkEnd w:id="25"/>
    </w:p>
    <w:p w:rsidR="000C6BB6" w:rsidRPr="00B05407" w:rsidRDefault="000C6BB6" w:rsidP="001338FE">
      <w:pPr>
        <w:contextualSpacing/>
        <w:rPr>
          <w:rFonts w:asciiTheme="minorHAnsi" w:hAnsiTheme="minorHAnsi" w:cs="Calibri"/>
        </w:rPr>
      </w:pPr>
    </w:p>
    <w:p w:rsidR="000C6BB6" w:rsidRPr="00B05407" w:rsidRDefault="000C6BB6" w:rsidP="001338FE">
      <w:pPr>
        <w:pStyle w:val="berschrift4"/>
        <w:contextualSpacing/>
        <w:rPr>
          <w:rFonts w:asciiTheme="minorHAnsi" w:hAnsiTheme="minorHAnsi" w:cs="Calibri"/>
          <w:szCs w:val="22"/>
        </w:rPr>
      </w:pPr>
      <w:r w:rsidRPr="00B05407">
        <w:rPr>
          <w:rFonts w:asciiTheme="minorHAnsi" w:hAnsiTheme="minorHAnsi" w:cs="Calibri"/>
          <w:szCs w:val="22"/>
        </w:rPr>
        <w:t>How does GANIL work?</w:t>
      </w:r>
    </w:p>
    <w:p w:rsidR="00D32A06" w:rsidRPr="00B05407" w:rsidRDefault="00D32A06" w:rsidP="001338FE">
      <w:pPr>
        <w:contextualSpacing/>
        <w:rPr>
          <w:rFonts w:asciiTheme="minorHAnsi" w:hAnsiTheme="minorHAnsi" w:cs="Calibri"/>
        </w:rPr>
      </w:pPr>
    </w:p>
    <w:p w:rsidR="00E22130" w:rsidRPr="00B05407" w:rsidRDefault="000C6BB6" w:rsidP="001338FE">
      <w:pPr>
        <w:contextualSpacing/>
        <w:rPr>
          <w:rFonts w:asciiTheme="minorHAnsi" w:hAnsiTheme="minorHAnsi" w:cs="Calibri"/>
          <w:lang w:val="en-GB"/>
        </w:rPr>
      </w:pPr>
      <w:r w:rsidRPr="00B05407">
        <w:rPr>
          <w:rFonts w:asciiTheme="minorHAnsi" w:hAnsiTheme="minorHAnsi" w:cs="Calibri"/>
          <w:lang w:val="en-GB"/>
        </w:rPr>
        <w:t xml:space="preserve">GANIL was founded in Caen, France in 1976 as an institute for fundamental </w:t>
      </w:r>
      <w:r w:rsidR="00D32A06" w:rsidRPr="00B05407">
        <w:rPr>
          <w:rFonts w:asciiTheme="minorHAnsi" w:hAnsiTheme="minorHAnsi" w:cs="Calibri"/>
          <w:lang w:val="en-GB"/>
        </w:rPr>
        <w:t>research</w:t>
      </w:r>
      <w:r w:rsidRPr="00B05407">
        <w:rPr>
          <w:rFonts w:asciiTheme="minorHAnsi" w:hAnsiTheme="minorHAnsi" w:cs="Calibri"/>
          <w:lang w:val="en-GB"/>
        </w:rPr>
        <w:t>. The laboratory is operated jointly through its legal structure Groupement d’Intérêt Economique (GIE) by the National Institute of Nuclear and Particle Physics (IN2P3) belonging to the National Centre for Scientific Research (CNRS) and the Direction de la Recherche Fondamentale of the Commissariat à l’Énergie Atomique et aux Énergies Alternatives (CEA). The GIE has been extended to 2046, and remains the current governing document of GANIL-SPIRAL2. It establishes membership and the rights and duties of members. According to this document, the members share contractual rights that define the number of votes they have for the General Assembly of the GIE. On the 14</w:t>
      </w:r>
      <w:r w:rsidRPr="00B05407">
        <w:rPr>
          <w:rFonts w:asciiTheme="minorHAnsi" w:hAnsiTheme="minorHAnsi" w:cs="Calibri"/>
          <w:vertAlign w:val="superscript"/>
          <w:lang w:val="en-GB"/>
        </w:rPr>
        <w:t>th</w:t>
      </w:r>
      <w:r w:rsidRPr="00B05407">
        <w:rPr>
          <w:rFonts w:asciiTheme="minorHAnsi" w:hAnsiTheme="minorHAnsi" w:cs="Calibri"/>
          <w:lang w:val="en-GB"/>
        </w:rPr>
        <w:t xml:space="preserve"> of December</w:t>
      </w:r>
      <w:r w:rsidR="00564E49" w:rsidRPr="00B05407">
        <w:rPr>
          <w:rFonts w:asciiTheme="minorHAnsi" w:hAnsiTheme="minorHAnsi" w:cs="Calibri"/>
          <w:lang w:val="en-GB"/>
        </w:rPr>
        <w:t xml:space="preserve"> 2015, a new amendment was made</w:t>
      </w:r>
      <w:r w:rsidRPr="00B05407">
        <w:rPr>
          <w:rFonts w:asciiTheme="minorHAnsi" w:hAnsiTheme="minorHAnsi" w:cs="Calibri"/>
          <w:lang w:val="en-GB"/>
        </w:rPr>
        <w:t xml:space="preserve"> to the GIE, which allows for the addition of “scientific partners” via the establishment of bilateral agreements. This same amendment also allows for current members to accept new members via a unanimous vote</w:t>
      </w:r>
      <w:r w:rsidR="00564E49" w:rsidRPr="00B05407">
        <w:rPr>
          <w:rFonts w:asciiTheme="minorHAnsi" w:hAnsiTheme="minorHAnsi" w:cs="Calibri"/>
          <w:lang w:val="en-GB"/>
        </w:rPr>
        <w:t xml:space="preserve"> </w:t>
      </w:r>
      <w:r w:rsidR="002B6784" w:rsidRPr="00B05407">
        <w:rPr>
          <w:rFonts w:asciiTheme="minorHAnsi" w:hAnsiTheme="minorHAnsi" w:cs="Calibri"/>
          <w:lang w:val="en-GB"/>
        </w:rPr>
        <w:t>[1]</w:t>
      </w:r>
      <w:r w:rsidRPr="00B05407">
        <w:rPr>
          <w:rFonts w:asciiTheme="minorHAnsi" w:hAnsiTheme="minorHAnsi" w:cs="Calibri"/>
          <w:lang w:val="en-GB"/>
        </w:rPr>
        <w:t>.</w:t>
      </w:r>
    </w:p>
    <w:p w:rsidR="00C156EC" w:rsidRPr="00B05407" w:rsidRDefault="00C156EC" w:rsidP="001338FE">
      <w:pPr>
        <w:contextualSpacing/>
        <w:rPr>
          <w:rFonts w:asciiTheme="minorHAnsi" w:hAnsiTheme="minorHAnsi" w:cs="Calibri"/>
          <w:lang w:val="en-GB"/>
        </w:rPr>
      </w:pPr>
    </w:p>
    <w:p w:rsidR="00E22130" w:rsidRPr="00B05407" w:rsidRDefault="00E22130" w:rsidP="001338FE">
      <w:pPr>
        <w:contextualSpacing/>
        <w:rPr>
          <w:rFonts w:asciiTheme="minorHAnsi" w:hAnsiTheme="minorHAnsi" w:cs="Calibri"/>
          <w:lang w:val="en-GB"/>
        </w:rPr>
      </w:pPr>
      <w:r w:rsidRPr="00B05407">
        <w:rPr>
          <w:rFonts w:asciiTheme="minorHAnsi" w:hAnsiTheme="minorHAnsi" w:cs="Calibri"/>
          <w:lang w:val="en-GB"/>
        </w:rPr>
        <w:t>It</w:t>
      </w:r>
      <w:r w:rsidR="00D32A06" w:rsidRPr="00B05407">
        <w:rPr>
          <w:rFonts w:asciiTheme="minorHAnsi" w:hAnsiTheme="minorHAnsi" w:cs="Calibri"/>
          <w:lang w:val="en-GB"/>
        </w:rPr>
        <w:t xml:space="preserve"> is possible</w:t>
      </w:r>
      <w:r w:rsidR="00DB0FFE" w:rsidRPr="00B05407">
        <w:rPr>
          <w:rFonts w:asciiTheme="minorHAnsi" w:hAnsiTheme="minorHAnsi" w:cs="Calibri"/>
          <w:lang w:val="en-GB"/>
        </w:rPr>
        <w:t xml:space="preserve"> that GANIL-SPIRAL2 </w:t>
      </w:r>
      <w:r w:rsidR="00C156EC" w:rsidRPr="00B05407">
        <w:rPr>
          <w:rFonts w:asciiTheme="minorHAnsi" w:hAnsiTheme="minorHAnsi" w:cs="Calibri"/>
          <w:lang w:val="en-GB"/>
        </w:rPr>
        <w:t xml:space="preserve">will </w:t>
      </w:r>
      <w:r w:rsidR="00DB0FFE" w:rsidRPr="00B05407">
        <w:rPr>
          <w:rFonts w:asciiTheme="minorHAnsi" w:hAnsiTheme="minorHAnsi" w:cs="Calibri"/>
          <w:lang w:val="en-GB"/>
        </w:rPr>
        <w:t>offer</w:t>
      </w:r>
      <w:r w:rsidRPr="00B05407">
        <w:rPr>
          <w:rFonts w:asciiTheme="minorHAnsi" w:hAnsiTheme="minorHAnsi" w:cs="Calibri"/>
          <w:lang w:val="en-GB"/>
        </w:rPr>
        <w:t xml:space="preserve"> two levels of partnership</w:t>
      </w:r>
      <w:r w:rsidR="0071767B" w:rsidRPr="00B05407">
        <w:rPr>
          <w:rFonts w:asciiTheme="minorHAnsi" w:hAnsiTheme="minorHAnsi" w:cs="Calibri"/>
          <w:lang w:val="en-GB"/>
        </w:rPr>
        <w:t xml:space="preserve"> in the future</w:t>
      </w:r>
      <w:r w:rsidRPr="00B05407">
        <w:rPr>
          <w:rFonts w:asciiTheme="minorHAnsi" w:hAnsiTheme="minorHAnsi" w:cs="Calibri"/>
          <w:lang w:val="en-GB"/>
        </w:rPr>
        <w:t xml:space="preserve">: </w:t>
      </w:r>
      <w:r w:rsidR="00564E49" w:rsidRPr="00B05407">
        <w:rPr>
          <w:rFonts w:asciiTheme="minorHAnsi" w:hAnsiTheme="minorHAnsi" w:cs="Calibri"/>
          <w:lang w:val="en-GB"/>
        </w:rPr>
        <w:t>Scientific Partnerships and M</w:t>
      </w:r>
      <w:r w:rsidRPr="00B05407">
        <w:rPr>
          <w:rFonts w:asciiTheme="minorHAnsi" w:hAnsiTheme="minorHAnsi" w:cs="Calibri"/>
          <w:lang w:val="en-GB"/>
        </w:rPr>
        <w:t>embers</w:t>
      </w:r>
      <w:r w:rsidR="0071767B" w:rsidRPr="00B05407">
        <w:rPr>
          <w:rFonts w:asciiTheme="minorHAnsi" w:hAnsiTheme="minorHAnsi" w:cs="Calibri"/>
          <w:lang w:val="en-GB"/>
        </w:rPr>
        <w:t>hip</w:t>
      </w:r>
      <w:r w:rsidR="00564E49" w:rsidRPr="00B05407">
        <w:rPr>
          <w:rFonts w:asciiTheme="minorHAnsi" w:hAnsiTheme="minorHAnsi" w:cs="Calibri"/>
          <w:lang w:val="en-GB"/>
        </w:rPr>
        <w:t>. Scientific P</w:t>
      </w:r>
      <w:r w:rsidRPr="00B05407">
        <w:rPr>
          <w:rFonts w:asciiTheme="minorHAnsi" w:hAnsiTheme="minorHAnsi" w:cs="Calibri"/>
          <w:lang w:val="en-GB"/>
        </w:rPr>
        <w:t>artnerships are created via bilateral agreements and the terms of the agreements can be base</w:t>
      </w:r>
      <w:r w:rsidR="00DB0FFE" w:rsidRPr="00B05407">
        <w:rPr>
          <w:rFonts w:asciiTheme="minorHAnsi" w:hAnsiTheme="minorHAnsi" w:cs="Calibri"/>
          <w:lang w:val="en-GB"/>
        </w:rPr>
        <w:t>d on individual partner’s needs and a principle of fair returns.</w:t>
      </w:r>
      <w:r w:rsidRPr="00B05407">
        <w:rPr>
          <w:rFonts w:asciiTheme="minorHAnsi" w:hAnsiTheme="minorHAnsi" w:cs="Calibri"/>
          <w:lang w:val="en-GB"/>
        </w:rPr>
        <w:t xml:space="preserve"> However, becoming a Member means joining the GIE of GANIL and thus accepting all the privileges and duties of membership</w:t>
      </w:r>
      <w:r w:rsidR="000B50BD" w:rsidRPr="00B05407">
        <w:rPr>
          <w:rFonts w:asciiTheme="minorHAnsi" w:hAnsiTheme="minorHAnsi" w:cs="Calibri"/>
          <w:lang w:val="en-GB"/>
        </w:rPr>
        <w:t>. The exact modalities of future Membership and Scientific Partnership are not yet finalised [2], however the recommendations in this report are compatible with current ideas.</w:t>
      </w:r>
    </w:p>
    <w:p w:rsidR="00E22130" w:rsidRPr="00B05407" w:rsidRDefault="00E22130" w:rsidP="001338FE">
      <w:pPr>
        <w:contextualSpacing/>
        <w:rPr>
          <w:rFonts w:asciiTheme="minorHAnsi" w:hAnsiTheme="minorHAnsi" w:cs="Calibri"/>
          <w:lang w:val="en-GB"/>
        </w:rPr>
      </w:pPr>
    </w:p>
    <w:p w:rsidR="007F3C24" w:rsidRPr="00B05407" w:rsidRDefault="00C82E8A" w:rsidP="000B50BD">
      <w:pPr>
        <w:pStyle w:val="berschrift4"/>
        <w:contextualSpacing/>
        <w:rPr>
          <w:rFonts w:asciiTheme="minorHAnsi" w:hAnsiTheme="minorHAnsi" w:cs="Calibri"/>
          <w:szCs w:val="22"/>
        </w:rPr>
      </w:pPr>
      <w:r w:rsidRPr="00B05407">
        <w:rPr>
          <w:rFonts w:asciiTheme="minorHAnsi" w:hAnsiTheme="minorHAnsi" w:cs="Calibri"/>
          <w:szCs w:val="22"/>
        </w:rPr>
        <w:t>Why in kind</w:t>
      </w:r>
      <w:r w:rsidR="00D6284F" w:rsidRPr="00B05407">
        <w:rPr>
          <w:rFonts w:asciiTheme="minorHAnsi" w:hAnsiTheme="minorHAnsi" w:cs="Calibri"/>
          <w:szCs w:val="22"/>
        </w:rPr>
        <w:t>?</w:t>
      </w:r>
    </w:p>
    <w:p w:rsidR="00D6284F" w:rsidRPr="00B05407" w:rsidRDefault="00D6284F" w:rsidP="001338FE">
      <w:pPr>
        <w:contextualSpacing/>
        <w:rPr>
          <w:rFonts w:asciiTheme="minorHAnsi" w:hAnsiTheme="minorHAnsi" w:cs="Calibri"/>
        </w:rPr>
      </w:pPr>
    </w:p>
    <w:p w:rsidR="001A2EA8" w:rsidRPr="00B05407" w:rsidRDefault="001A2EA8" w:rsidP="001338FE">
      <w:pPr>
        <w:contextualSpacing/>
        <w:rPr>
          <w:rFonts w:asciiTheme="minorHAnsi" w:hAnsiTheme="minorHAnsi" w:cs="Calibri"/>
        </w:rPr>
      </w:pPr>
      <w:r w:rsidRPr="00B05407">
        <w:rPr>
          <w:rFonts w:asciiTheme="minorHAnsi" w:hAnsiTheme="minorHAnsi" w:cs="Calibri"/>
        </w:rPr>
        <w:t>An in-kind contribution (IKC) is a non-cash contribution to a scientific project. It can take the form of IP, personnel, knowledge, hardware, software, services, calculations or raw materials</w:t>
      </w:r>
      <w:r w:rsidR="00C70D6D" w:rsidRPr="00B05407">
        <w:rPr>
          <w:rFonts w:asciiTheme="minorHAnsi" w:hAnsiTheme="minorHAnsi" w:cs="Calibri"/>
        </w:rPr>
        <w:t xml:space="preserve"> [3]</w:t>
      </w:r>
      <w:r w:rsidRPr="00B05407">
        <w:rPr>
          <w:rFonts w:asciiTheme="minorHAnsi" w:hAnsiTheme="minorHAnsi" w:cs="Calibri"/>
        </w:rPr>
        <w:t xml:space="preserve">. </w:t>
      </w:r>
      <w:r w:rsidR="00AB25FB" w:rsidRPr="00B05407">
        <w:rPr>
          <w:rFonts w:asciiTheme="minorHAnsi" w:hAnsiTheme="minorHAnsi" w:cs="Calibri"/>
        </w:rPr>
        <w:t xml:space="preserve">In the case of big science facilities like GANIL-SPIRAL2, it takes the form of an exchange between academic and </w:t>
      </w:r>
      <w:r w:rsidR="00133684" w:rsidRPr="00B05407">
        <w:rPr>
          <w:rFonts w:asciiTheme="minorHAnsi" w:hAnsiTheme="minorHAnsi" w:cs="Calibri"/>
        </w:rPr>
        <w:t>scientific institutions. This way, more of our funding stays in academia and public science rather than draining directly into private industry.</w:t>
      </w:r>
    </w:p>
    <w:p w:rsidR="00C156EC" w:rsidRPr="00B05407" w:rsidRDefault="00C156EC" w:rsidP="001338FE">
      <w:pPr>
        <w:contextualSpacing/>
        <w:rPr>
          <w:rFonts w:asciiTheme="minorHAnsi" w:hAnsiTheme="minorHAnsi" w:cs="Calibri"/>
        </w:rPr>
      </w:pPr>
    </w:p>
    <w:p w:rsidR="00C156EC" w:rsidRPr="00B05407" w:rsidRDefault="001A2EA8" w:rsidP="001338FE">
      <w:pPr>
        <w:contextualSpacing/>
        <w:rPr>
          <w:rFonts w:asciiTheme="minorHAnsi" w:hAnsiTheme="minorHAnsi" w:cs="Calibri"/>
          <w:b/>
        </w:rPr>
      </w:pPr>
      <w:r w:rsidRPr="00B05407">
        <w:rPr>
          <w:rFonts w:asciiTheme="minorHAnsi" w:hAnsiTheme="minorHAnsi" w:cs="Calibri"/>
          <w:b/>
        </w:rPr>
        <w:t>Advantages for scientific facilities:</w:t>
      </w:r>
    </w:p>
    <w:p w:rsidR="00D46FDD" w:rsidRPr="00B05407" w:rsidRDefault="001A2EA8" w:rsidP="001338FE">
      <w:pPr>
        <w:contextualSpacing/>
        <w:rPr>
          <w:rFonts w:asciiTheme="minorHAnsi" w:hAnsiTheme="minorHAnsi" w:cs="Calibri"/>
          <w:b/>
        </w:rPr>
      </w:pPr>
      <w:r w:rsidRPr="00B05407">
        <w:rPr>
          <w:rFonts w:asciiTheme="minorHAnsi" w:hAnsiTheme="minorHAnsi" w:cs="Calibri"/>
        </w:rPr>
        <w:t xml:space="preserve">Big science facilities like SPIRAL2 </w:t>
      </w:r>
      <w:r w:rsidR="00D46FDD" w:rsidRPr="00B05407">
        <w:rPr>
          <w:rFonts w:asciiTheme="minorHAnsi" w:hAnsiTheme="minorHAnsi" w:cs="Calibri"/>
        </w:rPr>
        <w:t xml:space="preserve">gain </w:t>
      </w:r>
      <w:r w:rsidRPr="00B05407">
        <w:rPr>
          <w:rFonts w:asciiTheme="minorHAnsi" w:hAnsiTheme="minorHAnsi" w:cs="Calibri"/>
        </w:rPr>
        <w:t xml:space="preserve">access to state-of-the-art technologies and </w:t>
      </w:r>
      <w:r w:rsidR="00D46FDD" w:rsidRPr="00B05407">
        <w:rPr>
          <w:rFonts w:asciiTheme="minorHAnsi" w:hAnsiTheme="minorHAnsi" w:cs="Calibri"/>
        </w:rPr>
        <w:t>secure long-term scientific partners</w:t>
      </w:r>
      <w:r w:rsidR="00133684" w:rsidRPr="00B05407">
        <w:rPr>
          <w:rFonts w:asciiTheme="minorHAnsi" w:hAnsiTheme="minorHAnsi" w:cs="Calibri"/>
        </w:rPr>
        <w:t>hips. IKC allow us to comply with</w:t>
      </w:r>
      <w:r w:rsidR="00D46FDD" w:rsidRPr="00B05407">
        <w:rPr>
          <w:rFonts w:asciiTheme="minorHAnsi" w:hAnsiTheme="minorHAnsi" w:cs="Calibri"/>
        </w:rPr>
        <w:t xml:space="preserve"> sta</w:t>
      </w:r>
      <w:r w:rsidR="00133684" w:rsidRPr="00B05407">
        <w:rPr>
          <w:rFonts w:asciiTheme="minorHAnsi" w:hAnsiTheme="minorHAnsi" w:cs="Calibri"/>
        </w:rPr>
        <w:t xml:space="preserve">te-aid-law, and </w:t>
      </w:r>
      <w:r w:rsidR="00D46FDD" w:rsidRPr="00B05407">
        <w:rPr>
          <w:rFonts w:asciiTheme="minorHAnsi" w:hAnsiTheme="minorHAnsi" w:cs="Calibri"/>
        </w:rPr>
        <w:t>chose our partners and providers based on their expertise and reputation rather than on the standard EU procurement rules</w:t>
      </w:r>
      <w:r w:rsidR="003D0912" w:rsidRPr="00B05407">
        <w:rPr>
          <w:rFonts w:asciiTheme="minorHAnsi" w:hAnsiTheme="minorHAnsi" w:cs="Calibri"/>
        </w:rPr>
        <w:t xml:space="preserve"> [4]</w:t>
      </w:r>
      <w:r w:rsidR="00D46FDD" w:rsidRPr="00B05407">
        <w:rPr>
          <w:rFonts w:asciiTheme="minorHAnsi" w:hAnsiTheme="minorHAnsi" w:cs="Calibri"/>
        </w:rPr>
        <w:t xml:space="preserve"> of “best offer”.</w:t>
      </w:r>
    </w:p>
    <w:p w:rsidR="00D46FDD" w:rsidRPr="00B05407" w:rsidRDefault="00D46FDD" w:rsidP="001338FE">
      <w:pPr>
        <w:contextualSpacing/>
        <w:rPr>
          <w:rFonts w:asciiTheme="minorHAnsi" w:hAnsiTheme="minorHAnsi" w:cs="Calibri"/>
        </w:rPr>
      </w:pPr>
      <w:r w:rsidRPr="00B05407">
        <w:rPr>
          <w:rFonts w:asciiTheme="minorHAnsi" w:hAnsiTheme="minorHAnsi" w:cs="Calibri"/>
        </w:rPr>
        <w:t xml:space="preserve">Many items contributed in kind are not available off the shelf or even bespoke on the open market. </w:t>
      </w:r>
      <w:r w:rsidR="0071767B" w:rsidRPr="00B05407">
        <w:rPr>
          <w:rFonts w:asciiTheme="minorHAnsi" w:hAnsiTheme="minorHAnsi" w:cs="Calibri"/>
        </w:rPr>
        <w:t>Here,</w:t>
      </w:r>
      <w:r w:rsidRPr="00B05407">
        <w:rPr>
          <w:rFonts w:asciiTheme="minorHAnsi" w:hAnsiTheme="minorHAnsi" w:cs="Calibri"/>
        </w:rPr>
        <w:t xml:space="preserve"> technologically or scientifically challenging technologies are developed within an in-kind partnership between equals (</w:t>
      </w:r>
      <w:r w:rsidR="00133684" w:rsidRPr="00B05407">
        <w:rPr>
          <w:rFonts w:asciiTheme="minorHAnsi" w:hAnsiTheme="minorHAnsi" w:cs="Calibri"/>
        </w:rPr>
        <w:t>GANIL, Member, P</w:t>
      </w:r>
      <w:r w:rsidR="005048F4" w:rsidRPr="00B05407">
        <w:rPr>
          <w:rFonts w:asciiTheme="minorHAnsi" w:hAnsiTheme="minorHAnsi" w:cs="Calibri"/>
        </w:rPr>
        <w:t>rovider), rather than within an asymmetric client/supplier relationship.</w:t>
      </w:r>
    </w:p>
    <w:p w:rsidR="00C156EC" w:rsidRPr="00B05407" w:rsidRDefault="00C156EC" w:rsidP="001338FE">
      <w:pPr>
        <w:contextualSpacing/>
        <w:rPr>
          <w:rFonts w:asciiTheme="minorHAnsi" w:hAnsiTheme="minorHAnsi" w:cs="Calibri"/>
        </w:rPr>
      </w:pPr>
    </w:p>
    <w:p w:rsidR="00D46FDD" w:rsidRPr="00B05407" w:rsidRDefault="00D46FDD" w:rsidP="001338FE">
      <w:pPr>
        <w:contextualSpacing/>
        <w:rPr>
          <w:rFonts w:asciiTheme="minorHAnsi" w:hAnsiTheme="minorHAnsi" w:cs="Calibri"/>
          <w:b/>
        </w:rPr>
      </w:pPr>
      <w:r w:rsidRPr="00B05407">
        <w:rPr>
          <w:rFonts w:asciiTheme="minorHAnsi" w:hAnsiTheme="minorHAnsi" w:cs="Calibri"/>
          <w:b/>
        </w:rPr>
        <w:t>Advantages for shareholders/members:</w:t>
      </w:r>
    </w:p>
    <w:p w:rsidR="005048F4" w:rsidRPr="00B05407" w:rsidRDefault="00D46FDD" w:rsidP="001338FE">
      <w:pPr>
        <w:contextualSpacing/>
        <w:rPr>
          <w:rFonts w:asciiTheme="minorHAnsi" w:hAnsiTheme="minorHAnsi" w:cs="Calibri"/>
        </w:rPr>
      </w:pPr>
      <w:r w:rsidRPr="00B05407">
        <w:rPr>
          <w:rFonts w:asciiTheme="minorHAnsi" w:hAnsiTheme="minorHAnsi" w:cs="Calibri"/>
        </w:rPr>
        <w:t>Via a principle of fair return (such as ESA’s “juste retour”</w:t>
      </w:r>
      <w:r w:rsidR="00EF1CAE" w:rsidRPr="00B05407">
        <w:rPr>
          <w:rFonts w:asciiTheme="minorHAnsi" w:hAnsiTheme="minorHAnsi" w:cs="Calibri"/>
        </w:rPr>
        <w:t xml:space="preserve"> </w:t>
      </w:r>
      <w:r w:rsidR="00EF1CAE" w:rsidRPr="00B05407">
        <w:rPr>
          <w:rFonts w:asciiTheme="minorHAnsi" w:hAnsiTheme="minorHAnsi" w:cs="Calibri"/>
          <w:sz w:val="20"/>
        </w:rPr>
        <w:t>[</w:t>
      </w:r>
      <w:r w:rsidR="00EF1CAE" w:rsidRPr="00B05407">
        <w:rPr>
          <w:rFonts w:asciiTheme="minorHAnsi" w:hAnsiTheme="minorHAnsi" w:cs="Calibri"/>
        </w:rPr>
        <w:t>5]</w:t>
      </w:r>
      <w:r w:rsidRPr="00B05407">
        <w:rPr>
          <w:rFonts w:asciiTheme="minorHAnsi" w:hAnsiTheme="minorHAnsi" w:cs="Calibri"/>
        </w:rPr>
        <w:t xml:space="preserve">), shareholders/members provide know-how and gain access to the facility and/or consultation and voting rights on the future of the facility. Member states can tailor their contributions to match their respective national research strategies, for </w:t>
      </w:r>
      <w:r w:rsidR="005048F4" w:rsidRPr="00B05407">
        <w:rPr>
          <w:rFonts w:asciiTheme="minorHAnsi" w:hAnsiTheme="minorHAnsi" w:cs="Calibri"/>
        </w:rPr>
        <w:t>example,</w:t>
      </w:r>
      <w:r w:rsidRPr="00B05407">
        <w:rPr>
          <w:rFonts w:asciiTheme="minorHAnsi" w:hAnsiTheme="minorHAnsi" w:cs="Calibri"/>
        </w:rPr>
        <w:t xml:space="preserve"> the Indian government wishes to make a number of contributions to FAIR that will strengthen the expertise and reputation in India of superconducting technologies</w:t>
      </w:r>
      <w:r w:rsidR="00EF1CAE" w:rsidRPr="00B05407">
        <w:rPr>
          <w:rFonts w:asciiTheme="minorHAnsi" w:hAnsiTheme="minorHAnsi" w:cs="Calibri"/>
        </w:rPr>
        <w:t xml:space="preserve"> [6]</w:t>
      </w:r>
      <w:r w:rsidRPr="00B05407">
        <w:rPr>
          <w:rFonts w:asciiTheme="minorHAnsi" w:hAnsiTheme="minorHAnsi" w:cs="Calibri"/>
        </w:rPr>
        <w:t>.</w:t>
      </w:r>
      <w:r w:rsidR="00C156EC" w:rsidRPr="00B05407">
        <w:rPr>
          <w:rFonts w:asciiTheme="minorHAnsi" w:hAnsiTheme="minorHAnsi" w:cs="Calibri"/>
        </w:rPr>
        <w:t xml:space="preserve"> </w:t>
      </w:r>
      <w:r w:rsidR="005048F4" w:rsidRPr="00B05407">
        <w:rPr>
          <w:rFonts w:asciiTheme="minorHAnsi" w:hAnsiTheme="minorHAnsi" w:cs="Calibri"/>
        </w:rPr>
        <w:t>By making contributions in k</w:t>
      </w:r>
      <w:r w:rsidR="00C156EC" w:rsidRPr="00B05407">
        <w:rPr>
          <w:rFonts w:asciiTheme="minorHAnsi" w:hAnsiTheme="minorHAnsi" w:cs="Calibri"/>
        </w:rPr>
        <w:t>ind instead of in cash, shareho</w:t>
      </w:r>
      <w:r w:rsidR="005048F4" w:rsidRPr="00B05407">
        <w:rPr>
          <w:rFonts w:asciiTheme="minorHAnsi" w:hAnsiTheme="minorHAnsi" w:cs="Calibri"/>
        </w:rPr>
        <w:t xml:space="preserve">lders/members can support their countries and regions by recommending local or national providers and supporting them internally by whatever support scheme is locally in place. </w:t>
      </w:r>
      <w:r w:rsidR="009079BB" w:rsidRPr="00B05407">
        <w:rPr>
          <w:rFonts w:asciiTheme="minorHAnsi" w:hAnsiTheme="minorHAnsi" w:cs="Calibri"/>
        </w:rPr>
        <w:t>C</w:t>
      </w:r>
      <w:r w:rsidR="0071767B" w:rsidRPr="00B05407">
        <w:rPr>
          <w:rFonts w:asciiTheme="minorHAnsi" w:hAnsiTheme="minorHAnsi" w:cs="Calibri"/>
        </w:rPr>
        <w:t>onversely, a</w:t>
      </w:r>
      <w:r w:rsidR="005048F4" w:rsidRPr="00B05407">
        <w:rPr>
          <w:rFonts w:asciiTheme="minorHAnsi" w:hAnsiTheme="minorHAnsi" w:cs="Calibri"/>
        </w:rPr>
        <w:t xml:space="preserve"> cash contribution will be spent on the open EU- or worldwide market, meaning that geographic return is not guaranteed</w:t>
      </w:r>
      <w:r w:rsidR="009079BB" w:rsidRPr="00B05407">
        <w:rPr>
          <w:rFonts w:asciiTheme="minorHAnsi" w:hAnsiTheme="minorHAnsi" w:cs="Calibri"/>
        </w:rPr>
        <w:t xml:space="preserve"> [4]</w:t>
      </w:r>
      <w:r w:rsidR="005048F4" w:rsidRPr="00B05407">
        <w:rPr>
          <w:rFonts w:asciiTheme="minorHAnsi" w:hAnsiTheme="minorHAnsi" w:cs="Calibri"/>
        </w:rPr>
        <w:t>.</w:t>
      </w:r>
      <w:r w:rsidR="00133684" w:rsidRPr="00B05407">
        <w:rPr>
          <w:rFonts w:asciiTheme="minorHAnsi" w:hAnsiTheme="minorHAnsi" w:cs="Calibri"/>
        </w:rPr>
        <w:t xml:space="preserve"> In the sensitive case of nuclear physics, export control may prevent our sharing IP during the bidding process on the open market.</w:t>
      </w:r>
    </w:p>
    <w:p w:rsidR="00C156EC" w:rsidRPr="00B05407" w:rsidRDefault="00C156EC" w:rsidP="001338FE">
      <w:pPr>
        <w:contextualSpacing/>
        <w:rPr>
          <w:rFonts w:asciiTheme="minorHAnsi" w:hAnsiTheme="minorHAnsi" w:cs="Calibri"/>
        </w:rPr>
      </w:pPr>
    </w:p>
    <w:p w:rsidR="00D46FDD" w:rsidRPr="00B05407" w:rsidRDefault="00D46FDD" w:rsidP="001338FE">
      <w:pPr>
        <w:contextualSpacing/>
        <w:rPr>
          <w:rFonts w:asciiTheme="minorHAnsi" w:hAnsiTheme="minorHAnsi" w:cs="Calibri"/>
          <w:b/>
        </w:rPr>
      </w:pPr>
      <w:r w:rsidRPr="00B05407">
        <w:rPr>
          <w:rFonts w:asciiTheme="minorHAnsi" w:hAnsiTheme="minorHAnsi" w:cs="Calibri"/>
          <w:b/>
        </w:rPr>
        <w:t>Advantages for providers:</w:t>
      </w:r>
    </w:p>
    <w:p w:rsidR="00D46FDD" w:rsidRPr="00B05407" w:rsidRDefault="00D46FDD" w:rsidP="001338FE">
      <w:pPr>
        <w:contextualSpacing/>
        <w:rPr>
          <w:rFonts w:asciiTheme="minorHAnsi" w:hAnsiTheme="minorHAnsi" w:cs="Calibri"/>
        </w:rPr>
      </w:pPr>
      <w:r w:rsidRPr="00B05407">
        <w:rPr>
          <w:rFonts w:asciiTheme="minorHAnsi" w:hAnsiTheme="minorHAnsi" w:cs="Calibri"/>
        </w:rPr>
        <w:t xml:space="preserve">Providers of IKC gain custom from their national member/shareholder, IP rights, a boost to R&amp;D and a boost to reputation. </w:t>
      </w:r>
      <w:r w:rsidR="000B50BD" w:rsidRPr="00B05407">
        <w:rPr>
          <w:rFonts w:asciiTheme="minorHAnsi" w:hAnsiTheme="minorHAnsi" w:cs="Calibri"/>
        </w:rPr>
        <w:t xml:space="preserve">Small and medium sized enterprises gain a foothold in the big science market. </w:t>
      </w:r>
      <w:r w:rsidRPr="00B05407">
        <w:rPr>
          <w:rFonts w:asciiTheme="minorHAnsi" w:hAnsiTheme="minorHAnsi" w:cs="Calibri"/>
        </w:rPr>
        <w:t>CERN, for example, awards suppliers with a seal that they can use for publicity</w:t>
      </w:r>
      <w:r w:rsidR="00651553" w:rsidRPr="00B05407">
        <w:rPr>
          <w:rFonts w:asciiTheme="minorHAnsi" w:hAnsiTheme="minorHAnsi" w:cs="Calibri"/>
        </w:rPr>
        <w:t xml:space="preserve"> [7]</w:t>
      </w:r>
      <w:r w:rsidRPr="00B05407">
        <w:rPr>
          <w:rFonts w:asciiTheme="minorHAnsi" w:hAnsiTheme="minorHAnsi" w:cs="Calibri"/>
        </w:rPr>
        <w:t>.</w:t>
      </w:r>
    </w:p>
    <w:p w:rsidR="0088257C" w:rsidRPr="00B05407" w:rsidRDefault="0088257C" w:rsidP="001338FE">
      <w:pPr>
        <w:contextualSpacing/>
        <w:rPr>
          <w:rFonts w:asciiTheme="minorHAnsi" w:hAnsiTheme="minorHAnsi" w:cs="Calibri"/>
        </w:rPr>
      </w:pPr>
    </w:p>
    <w:p w:rsidR="0088257C" w:rsidRPr="00B05407" w:rsidRDefault="0088257C" w:rsidP="001338FE">
      <w:pPr>
        <w:pStyle w:val="berschrift3"/>
        <w:contextualSpacing/>
        <w:rPr>
          <w:rFonts w:asciiTheme="minorHAnsi" w:hAnsiTheme="minorHAnsi" w:cs="Calibri"/>
          <w:sz w:val="32"/>
          <w:szCs w:val="22"/>
        </w:rPr>
      </w:pPr>
      <w:bookmarkStart w:id="26" w:name="_Toc532549090"/>
      <w:r w:rsidRPr="00B05407">
        <w:rPr>
          <w:rFonts w:asciiTheme="minorHAnsi" w:hAnsiTheme="minorHAnsi" w:cs="Calibri"/>
          <w:sz w:val="32"/>
          <w:szCs w:val="22"/>
        </w:rPr>
        <w:t>Section 2: “The” in-kind model</w:t>
      </w:r>
      <w:bookmarkEnd w:id="26"/>
    </w:p>
    <w:p w:rsidR="00D6284F" w:rsidRPr="00B05407" w:rsidRDefault="00D6284F" w:rsidP="001338FE">
      <w:pPr>
        <w:contextualSpacing/>
        <w:rPr>
          <w:rFonts w:asciiTheme="minorHAnsi" w:hAnsiTheme="minorHAnsi" w:cs="Calibri"/>
        </w:rPr>
      </w:pPr>
    </w:p>
    <w:p w:rsidR="0088257C" w:rsidRPr="00B05407" w:rsidRDefault="0088257C" w:rsidP="001338FE">
      <w:pPr>
        <w:contextualSpacing/>
        <w:rPr>
          <w:rFonts w:asciiTheme="minorHAnsi" w:hAnsiTheme="minorHAnsi" w:cs="Calibri"/>
        </w:rPr>
      </w:pPr>
      <w:r w:rsidRPr="00B05407">
        <w:rPr>
          <w:rFonts w:asciiTheme="minorHAnsi" w:hAnsiTheme="minorHAnsi" w:cs="Calibri"/>
        </w:rPr>
        <w:t>There is no single in-kind model. Each research infrastructure needs to develop its own based on its scientific and strategic needs as well as its legal form and governance</w:t>
      </w:r>
      <w:r w:rsidR="000F6FBB" w:rsidRPr="00B05407">
        <w:rPr>
          <w:rFonts w:asciiTheme="minorHAnsi" w:hAnsiTheme="minorHAnsi" w:cs="Calibri"/>
        </w:rPr>
        <w:t xml:space="preserve"> [8]</w:t>
      </w:r>
      <w:r w:rsidRPr="00B05407">
        <w:rPr>
          <w:rFonts w:asciiTheme="minorHAnsi" w:hAnsiTheme="minorHAnsi" w:cs="Calibri"/>
        </w:rPr>
        <w:t>. The usual steps involved are:</w:t>
      </w:r>
    </w:p>
    <w:p w:rsidR="0088257C" w:rsidRPr="00B05407" w:rsidRDefault="000F6FBB" w:rsidP="001338FE">
      <w:pPr>
        <w:pStyle w:val="Listenabsatz"/>
        <w:numPr>
          <w:ilvl w:val="0"/>
          <w:numId w:val="14"/>
        </w:numPr>
        <w:rPr>
          <w:rFonts w:asciiTheme="minorHAnsi" w:hAnsiTheme="minorHAnsi" w:cs="Calibri"/>
        </w:rPr>
      </w:pPr>
      <w:r w:rsidRPr="00B05407">
        <w:rPr>
          <w:rFonts w:asciiTheme="minorHAnsi" w:hAnsiTheme="minorHAnsi" w:cs="Calibri"/>
        </w:rPr>
        <w:t>A</w:t>
      </w:r>
      <w:r w:rsidR="0088257C" w:rsidRPr="00B05407">
        <w:rPr>
          <w:rFonts w:asciiTheme="minorHAnsi" w:hAnsiTheme="minorHAnsi" w:cs="Calibri"/>
        </w:rPr>
        <w:t>llocation</w:t>
      </w:r>
    </w:p>
    <w:p w:rsidR="0088257C" w:rsidRPr="00B05407" w:rsidRDefault="0088257C" w:rsidP="001338FE">
      <w:pPr>
        <w:pStyle w:val="Listenabsatz"/>
        <w:rPr>
          <w:rFonts w:asciiTheme="minorHAnsi" w:hAnsiTheme="minorHAnsi" w:cs="Calibri"/>
        </w:rPr>
      </w:pPr>
      <w:r w:rsidRPr="00B05407">
        <w:rPr>
          <w:rFonts w:asciiTheme="minorHAnsi" w:hAnsiTheme="minorHAnsi" w:cs="Calibri"/>
        </w:rPr>
        <w:t xml:space="preserve">Through a mechanism of expression of interest and review, a shareholder/member is allocated an item to provide. The share value or IKC cash equivalent is agreed. </w:t>
      </w:r>
    </w:p>
    <w:p w:rsidR="0088257C" w:rsidRPr="00B05407" w:rsidRDefault="000F6FBB" w:rsidP="001338FE">
      <w:pPr>
        <w:pStyle w:val="Listenabsatz"/>
        <w:numPr>
          <w:ilvl w:val="0"/>
          <w:numId w:val="14"/>
        </w:numPr>
        <w:rPr>
          <w:rFonts w:asciiTheme="minorHAnsi" w:hAnsiTheme="minorHAnsi" w:cs="Calibri"/>
        </w:rPr>
      </w:pPr>
      <w:r w:rsidRPr="00B05407">
        <w:rPr>
          <w:rFonts w:asciiTheme="minorHAnsi" w:hAnsiTheme="minorHAnsi" w:cs="Calibri"/>
        </w:rPr>
        <w:t>P</w:t>
      </w:r>
      <w:r w:rsidR="0088257C" w:rsidRPr="00B05407">
        <w:rPr>
          <w:rFonts w:asciiTheme="minorHAnsi" w:hAnsiTheme="minorHAnsi" w:cs="Calibri"/>
        </w:rPr>
        <w:t>rocurement</w:t>
      </w:r>
    </w:p>
    <w:p w:rsidR="0088257C" w:rsidRPr="00B05407" w:rsidRDefault="0088257C" w:rsidP="001338FE">
      <w:pPr>
        <w:pStyle w:val="Listenabsatz"/>
        <w:rPr>
          <w:rFonts w:asciiTheme="minorHAnsi" w:hAnsiTheme="minorHAnsi" w:cs="Calibri"/>
        </w:rPr>
      </w:pPr>
      <w:r w:rsidRPr="00B05407">
        <w:rPr>
          <w:rFonts w:asciiTheme="minorHAnsi" w:hAnsiTheme="minorHAnsi" w:cs="Calibri"/>
        </w:rPr>
        <w:t>In this phase, a provider is selected and an in-kind agreement is signed.</w:t>
      </w:r>
    </w:p>
    <w:p w:rsidR="0088257C" w:rsidRPr="00B05407" w:rsidRDefault="000F6FBB" w:rsidP="001338FE">
      <w:pPr>
        <w:pStyle w:val="Listenabsatz"/>
        <w:numPr>
          <w:ilvl w:val="0"/>
          <w:numId w:val="14"/>
        </w:numPr>
        <w:rPr>
          <w:rFonts w:asciiTheme="minorHAnsi" w:hAnsiTheme="minorHAnsi" w:cs="Calibri"/>
        </w:rPr>
      </w:pPr>
      <w:r w:rsidRPr="00B05407">
        <w:rPr>
          <w:rFonts w:asciiTheme="minorHAnsi" w:hAnsiTheme="minorHAnsi" w:cs="Calibri"/>
        </w:rPr>
        <w:t>M</w:t>
      </w:r>
      <w:r w:rsidR="0088257C" w:rsidRPr="00B05407">
        <w:rPr>
          <w:rFonts w:asciiTheme="minorHAnsi" w:hAnsiTheme="minorHAnsi" w:cs="Calibri"/>
        </w:rPr>
        <w:t>onitoring</w:t>
      </w:r>
    </w:p>
    <w:p w:rsidR="0088257C" w:rsidRPr="00B05407" w:rsidRDefault="0088257C" w:rsidP="001338FE">
      <w:pPr>
        <w:pStyle w:val="Listenabsatz"/>
        <w:rPr>
          <w:rFonts w:asciiTheme="minorHAnsi" w:hAnsiTheme="minorHAnsi" w:cs="Calibri"/>
        </w:rPr>
      </w:pPr>
      <w:r w:rsidRPr="00B05407">
        <w:rPr>
          <w:rFonts w:asciiTheme="minorHAnsi" w:hAnsiTheme="minorHAnsi" w:cs="Calibri"/>
        </w:rPr>
        <w:lastRenderedPageBreak/>
        <w:t>The progress of the IKC is tracked via milestones and (quality) gates</w:t>
      </w:r>
    </w:p>
    <w:p w:rsidR="0088257C" w:rsidRPr="00B05407" w:rsidRDefault="000F6FBB" w:rsidP="001338FE">
      <w:pPr>
        <w:pStyle w:val="Listenabsatz"/>
        <w:numPr>
          <w:ilvl w:val="0"/>
          <w:numId w:val="14"/>
        </w:numPr>
        <w:rPr>
          <w:rFonts w:asciiTheme="minorHAnsi" w:hAnsiTheme="minorHAnsi" w:cs="Calibri"/>
        </w:rPr>
      </w:pPr>
      <w:r w:rsidRPr="00B05407">
        <w:rPr>
          <w:rFonts w:asciiTheme="minorHAnsi" w:hAnsiTheme="minorHAnsi" w:cs="Calibri"/>
        </w:rPr>
        <w:t>D</w:t>
      </w:r>
      <w:r w:rsidR="0088257C" w:rsidRPr="00B05407">
        <w:rPr>
          <w:rFonts w:asciiTheme="minorHAnsi" w:hAnsiTheme="minorHAnsi" w:cs="Calibri"/>
        </w:rPr>
        <w:t>elivery</w:t>
      </w:r>
    </w:p>
    <w:p w:rsidR="0088257C" w:rsidRPr="00B05407" w:rsidRDefault="0088257C" w:rsidP="001338FE">
      <w:pPr>
        <w:pStyle w:val="Listenabsatz"/>
        <w:rPr>
          <w:rFonts w:asciiTheme="minorHAnsi" w:hAnsiTheme="minorHAnsi" w:cs="Calibri"/>
        </w:rPr>
      </w:pPr>
      <w:r w:rsidRPr="00B05407">
        <w:rPr>
          <w:rFonts w:asciiTheme="minorHAnsi" w:hAnsiTheme="minorHAnsi" w:cs="Calibri"/>
        </w:rPr>
        <w:t>FAIR uses Delivery Duty</w:t>
      </w:r>
      <w:r w:rsidR="00EF1CAE" w:rsidRPr="00B05407">
        <w:rPr>
          <w:rFonts w:asciiTheme="minorHAnsi" w:hAnsiTheme="minorHAnsi" w:cs="Calibri"/>
        </w:rPr>
        <w:t xml:space="preserve"> Paid within the EU and Delivery</w:t>
      </w:r>
      <w:r w:rsidRPr="00B05407">
        <w:rPr>
          <w:rFonts w:asciiTheme="minorHAnsi" w:hAnsiTheme="minorHAnsi" w:cs="Calibri"/>
        </w:rPr>
        <w:t xml:space="preserve"> At Place for non-EU suppliers (INCOTERMS 2010). This places no undue import burdens on providers outside the Union</w:t>
      </w:r>
      <w:r w:rsidR="00C53F92" w:rsidRPr="00B05407">
        <w:rPr>
          <w:rFonts w:asciiTheme="minorHAnsi" w:hAnsiTheme="minorHAnsi" w:cs="Calibri"/>
        </w:rPr>
        <w:t xml:space="preserve"> [9]</w:t>
      </w:r>
      <w:r w:rsidRPr="00B05407">
        <w:rPr>
          <w:rFonts w:asciiTheme="minorHAnsi" w:hAnsiTheme="minorHAnsi" w:cs="Calibri"/>
        </w:rPr>
        <w:t>.</w:t>
      </w:r>
    </w:p>
    <w:p w:rsidR="0088257C" w:rsidRPr="00B05407" w:rsidRDefault="000F6FBB" w:rsidP="001338FE">
      <w:pPr>
        <w:pStyle w:val="Listenabsatz"/>
        <w:numPr>
          <w:ilvl w:val="0"/>
          <w:numId w:val="14"/>
        </w:numPr>
        <w:rPr>
          <w:rFonts w:asciiTheme="minorHAnsi" w:hAnsiTheme="minorHAnsi" w:cs="Calibri"/>
        </w:rPr>
      </w:pPr>
      <w:r w:rsidRPr="00B05407">
        <w:rPr>
          <w:rFonts w:asciiTheme="minorHAnsi" w:hAnsiTheme="minorHAnsi" w:cs="Calibri"/>
        </w:rPr>
        <w:t>I</w:t>
      </w:r>
      <w:r w:rsidR="0088257C" w:rsidRPr="00B05407">
        <w:rPr>
          <w:rFonts w:asciiTheme="minorHAnsi" w:hAnsiTheme="minorHAnsi" w:cs="Calibri"/>
        </w:rPr>
        <w:t>nstallation and commissioning</w:t>
      </w:r>
    </w:p>
    <w:p w:rsidR="0088257C" w:rsidRPr="00B05407" w:rsidRDefault="0088257C" w:rsidP="001338FE">
      <w:pPr>
        <w:pStyle w:val="Listenabsatz"/>
        <w:rPr>
          <w:rFonts w:asciiTheme="minorHAnsi" w:hAnsiTheme="minorHAnsi" w:cs="Calibri"/>
        </w:rPr>
      </w:pPr>
      <w:r w:rsidRPr="00B05407">
        <w:rPr>
          <w:rFonts w:asciiTheme="minorHAnsi" w:hAnsiTheme="minorHAnsi" w:cs="Calibri"/>
        </w:rPr>
        <w:t>How much of the installation and commissioning work is included in the scope of the IKC needs to be well defined in the contract. One model that works well at FAIR is the contractual agreement of a certain number of FTEs to be used for installation and commissioning.</w:t>
      </w:r>
    </w:p>
    <w:p w:rsidR="0088257C" w:rsidRPr="00B05407" w:rsidRDefault="00987E6F" w:rsidP="001338FE">
      <w:pPr>
        <w:pStyle w:val="Listenabsatz"/>
        <w:numPr>
          <w:ilvl w:val="0"/>
          <w:numId w:val="14"/>
        </w:numPr>
        <w:rPr>
          <w:rFonts w:asciiTheme="minorHAnsi" w:hAnsiTheme="minorHAnsi" w:cs="Calibri"/>
        </w:rPr>
      </w:pPr>
      <w:r w:rsidRPr="00B05407">
        <w:rPr>
          <w:rFonts w:asciiTheme="minorHAnsi" w:hAnsiTheme="minorHAnsi" w:cs="Calibri"/>
        </w:rPr>
        <w:t>A</w:t>
      </w:r>
      <w:r w:rsidR="0088257C" w:rsidRPr="00B05407">
        <w:rPr>
          <w:rFonts w:asciiTheme="minorHAnsi" w:hAnsiTheme="minorHAnsi" w:cs="Calibri"/>
        </w:rPr>
        <w:t>cceptance and transfer of ownership</w:t>
      </w:r>
    </w:p>
    <w:p w:rsidR="0088257C" w:rsidRPr="00B05407" w:rsidRDefault="0088257C" w:rsidP="00133684">
      <w:pPr>
        <w:pStyle w:val="Listenabsatz"/>
        <w:rPr>
          <w:rFonts w:asciiTheme="minorHAnsi" w:hAnsiTheme="minorHAnsi" w:cs="Calibri"/>
        </w:rPr>
      </w:pPr>
      <w:r w:rsidRPr="00B05407">
        <w:rPr>
          <w:rFonts w:asciiTheme="minorHAnsi" w:hAnsiTheme="minorHAnsi" w:cs="Calibri"/>
        </w:rPr>
        <w:t>Acceptance tests and quality gates are needed to check that IKCs comply with scientific and technical specifications</w:t>
      </w:r>
      <w:r w:rsidR="00C53F92" w:rsidRPr="00B05407">
        <w:rPr>
          <w:rFonts w:asciiTheme="minorHAnsi" w:hAnsiTheme="minorHAnsi" w:cs="Calibri"/>
        </w:rPr>
        <w:t xml:space="preserve"> [</w:t>
      </w:r>
      <w:r w:rsidR="00FA0E51" w:rsidRPr="00B05407">
        <w:rPr>
          <w:rFonts w:asciiTheme="minorHAnsi" w:hAnsiTheme="minorHAnsi" w:cs="Calibri"/>
        </w:rPr>
        <w:t xml:space="preserve">10, </w:t>
      </w:r>
      <w:r w:rsidR="00C53F92" w:rsidRPr="00B05407">
        <w:rPr>
          <w:rFonts w:asciiTheme="minorHAnsi" w:hAnsiTheme="minorHAnsi" w:cs="Calibri"/>
        </w:rPr>
        <w:t>11]</w:t>
      </w:r>
      <w:r w:rsidRPr="00B05407">
        <w:rPr>
          <w:rFonts w:asciiTheme="minorHAnsi" w:hAnsiTheme="minorHAnsi" w:cs="Calibri"/>
        </w:rPr>
        <w:t xml:space="preserve">. A separate legal acceptance triggers the start of the warranty period and transfers ownership </w:t>
      </w:r>
      <w:r w:rsidR="0071767B" w:rsidRPr="00B05407">
        <w:rPr>
          <w:rFonts w:asciiTheme="minorHAnsi" w:hAnsiTheme="minorHAnsi" w:cs="Calibri"/>
        </w:rPr>
        <w:t>to the</w:t>
      </w:r>
      <w:r w:rsidRPr="00B05407">
        <w:rPr>
          <w:rFonts w:asciiTheme="minorHAnsi" w:hAnsiTheme="minorHAnsi" w:cs="Calibri"/>
        </w:rPr>
        <w:t xml:space="preserve"> Facility.</w:t>
      </w:r>
    </w:p>
    <w:p w:rsidR="000C6BB6" w:rsidRPr="00B05407" w:rsidRDefault="0088257C" w:rsidP="001338FE">
      <w:pPr>
        <w:contextualSpacing/>
        <w:rPr>
          <w:rFonts w:asciiTheme="minorHAnsi" w:hAnsiTheme="minorHAnsi" w:cs="Calibri"/>
        </w:rPr>
      </w:pPr>
      <w:r w:rsidRPr="00B05407">
        <w:rPr>
          <w:rFonts w:asciiTheme="minorHAnsi" w:hAnsiTheme="minorHAnsi" w:cs="Calibri"/>
        </w:rPr>
        <w:t xml:space="preserve">Our specific recommendations for </w:t>
      </w:r>
      <w:r w:rsidR="00CA791B" w:rsidRPr="00B05407">
        <w:rPr>
          <w:rFonts w:asciiTheme="minorHAnsi" w:hAnsiTheme="minorHAnsi" w:cs="Calibri"/>
        </w:rPr>
        <w:t>implementin</w:t>
      </w:r>
      <w:r w:rsidR="00667C67" w:rsidRPr="00B05407">
        <w:rPr>
          <w:rFonts w:asciiTheme="minorHAnsi" w:hAnsiTheme="minorHAnsi" w:cs="Calibri"/>
        </w:rPr>
        <w:t>g</w:t>
      </w:r>
      <w:r w:rsidR="00CA791B" w:rsidRPr="00B05407">
        <w:rPr>
          <w:rFonts w:asciiTheme="minorHAnsi" w:hAnsiTheme="minorHAnsi" w:cs="Calibri"/>
        </w:rPr>
        <w:t xml:space="preserve"> an in-kind model at </w:t>
      </w:r>
      <w:r w:rsidRPr="00B05407">
        <w:rPr>
          <w:rFonts w:asciiTheme="minorHAnsi" w:hAnsiTheme="minorHAnsi" w:cs="Calibri"/>
        </w:rPr>
        <w:t>GANIL-SPIRAL2 follow.</w:t>
      </w:r>
    </w:p>
    <w:p w:rsidR="00B01711" w:rsidRPr="00B05407" w:rsidRDefault="0088257C" w:rsidP="001338FE">
      <w:pPr>
        <w:pStyle w:val="berschrift3"/>
        <w:contextualSpacing/>
        <w:rPr>
          <w:rFonts w:asciiTheme="minorHAnsi" w:hAnsiTheme="minorHAnsi" w:cs="Calibri"/>
          <w:sz w:val="28"/>
          <w:szCs w:val="22"/>
        </w:rPr>
      </w:pPr>
      <w:bookmarkStart w:id="27" w:name="_Toc532549091"/>
      <w:r w:rsidRPr="00B05407">
        <w:rPr>
          <w:rFonts w:asciiTheme="minorHAnsi" w:hAnsiTheme="minorHAnsi" w:cs="Calibri"/>
          <w:sz w:val="28"/>
          <w:szCs w:val="22"/>
        </w:rPr>
        <w:t>Section 3</w:t>
      </w:r>
      <w:r w:rsidR="00B01711" w:rsidRPr="00B05407">
        <w:rPr>
          <w:rFonts w:asciiTheme="minorHAnsi" w:hAnsiTheme="minorHAnsi" w:cs="Calibri"/>
          <w:sz w:val="28"/>
          <w:szCs w:val="22"/>
        </w:rPr>
        <w:t xml:space="preserve">: </w:t>
      </w:r>
      <w:r w:rsidR="00BD62A8" w:rsidRPr="00B05407">
        <w:rPr>
          <w:rFonts w:asciiTheme="minorHAnsi" w:hAnsiTheme="minorHAnsi" w:cs="Calibri"/>
          <w:sz w:val="28"/>
          <w:szCs w:val="22"/>
        </w:rPr>
        <w:t>Building with a sliding scope</w:t>
      </w:r>
      <w:bookmarkEnd w:id="27"/>
      <w:r w:rsidR="00133684" w:rsidRPr="00B05407">
        <w:rPr>
          <w:rStyle w:val="Funotenzeichen"/>
          <w:rFonts w:asciiTheme="minorHAnsi" w:hAnsiTheme="minorHAnsi" w:cs="Calibri"/>
          <w:sz w:val="28"/>
          <w:szCs w:val="22"/>
        </w:rPr>
        <w:footnoteReference w:id="1"/>
      </w:r>
    </w:p>
    <w:p w:rsidR="007762DC" w:rsidRPr="00B05407" w:rsidRDefault="007762DC" w:rsidP="001338FE">
      <w:pPr>
        <w:contextualSpacing/>
        <w:rPr>
          <w:rFonts w:asciiTheme="minorHAnsi" w:hAnsiTheme="minorHAnsi" w:cs="Calibri"/>
        </w:rPr>
      </w:pPr>
    </w:p>
    <w:p w:rsidR="00612ED7" w:rsidRPr="00B05407" w:rsidRDefault="00612ED7" w:rsidP="001338FE">
      <w:pPr>
        <w:contextualSpacing/>
        <w:rPr>
          <w:rFonts w:asciiTheme="minorHAnsi" w:hAnsiTheme="minorHAnsi" w:cs="Calibri"/>
        </w:rPr>
      </w:pPr>
      <w:r w:rsidRPr="00B05407">
        <w:rPr>
          <w:rFonts w:asciiTheme="minorHAnsi" w:hAnsiTheme="minorHAnsi" w:cs="Calibri"/>
        </w:rPr>
        <w:t>An exemplary infrastructure plan may look as follows</w:t>
      </w:r>
      <w:r w:rsidR="000C6BB6" w:rsidRPr="00B05407">
        <w:rPr>
          <w:rFonts w:asciiTheme="minorHAnsi" w:hAnsiTheme="minorHAnsi" w:cs="Calibri"/>
        </w:rPr>
        <w:t xml:space="preserve"> </w:t>
      </w:r>
      <w:r w:rsidR="00987E6F" w:rsidRPr="00B05407">
        <w:rPr>
          <w:rFonts w:asciiTheme="minorHAnsi" w:hAnsiTheme="minorHAnsi" w:cs="Calibri"/>
        </w:rPr>
        <w:t>[8</w:t>
      </w:r>
      <w:r w:rsidR="00D512F7" w:rsidRPr="00B05407">
        <w:rPr>
          <w:rFonts w:asciiTheme="minorHAnsi" w:hAnsiTheme="minorHAnsi" w:cs="Calibri"/>
        </w:rPr>
        <w:t>]</w:t>
      </w:r>
      <w:r w:rsidRPr="00B05407">
        <w:rPr>
          <w:rFonts w:asciiTheme="minorHAnsi" w:hAnsiTheme="minorHAnsi" w:cs="Calibri"/>
        </w:rPr>
        <w:t>:</w:t>
      </w:r>
    </w:p>
    <w:p w:rsidR="00612ED7" w:rsidRPr="00B05407" w:rsidRDefault="00612ED7" w:rsidP="001338FE">
      <w:pPr>
        <w:contextualSpacing/>
        <w:rPr>
          <w:rFonts w:asciiTheme="minorHAnsi" w:hAnsiTheme="minorHAnsi" w:cs="Calibri"/>
        </w:rPr>
      </w:pPr>
    </w:p>
    <w:p w:rsidR="00612ED7" w:rsidRPr="00B05407" w:rsidRDefault="00612ED7" w:rsidP="001338FE">
      <w:pPr>
        <w:pStyle w:val="Listenabsatz"/>
        <w:numPr>
          <w:ilvl w:val="0"/>
          <w:numId w:val="11"/>
        </w:numPr>
        <w:rPr>
          <w:rFonts w:asciiTheme="minorHAnsi" w:hAnsiTheme="minorHAnsi" w:cs="Calibri"/>
        </w:rPr>
      </w:pPr>
      <w:r w:rsidRPr="00B05407">
        <w:rPr>
          <w:rFonts w:asciiTheme="minorHAnsi" w:hAnsiTheme="minorHAnsi" w:cs="Calibri"/>
        </w:rPr>
        <w:t>White Paper as statement of political intent</w:t>
      </w:r>
    </w:p>
    <w:p w:rsidR="00612ED7" w:rsidRPr="00B05407" w:rsidRDefault="00612ED7" w:rsidP="001338FE">
      <w:pPr>
        <w:pStyle w:val="Listenabsatz"/>
        <w:numPr>
          <w:ilvl w:val="0"/>
          <w:numId w:val="11"/>
        </w:numPr>
        <w:rPr>
          <w:rFonts w:asciiTheme="minorHAnsi" w:hAnsiTheme="minorHAnsi" w:cs="Calibri"/>
        </w:rPr>
      </w:pPr>
      <w:r w:rsidRPr="00B05407">
        <w:rPr>
          <w:rFonts w:asciiTheme="minorHAnsi" w:hAnsiTheme="minorHAnsi" w:cs="Calibri"/>
        </w:rPr>
        <w:t>Various Green Papers and consultations</w:t>
      </w:r>
    </w:p>
    <w:p w:rsidR="00612ED7" w:rsidRPr="00B05407" w:rsidRDefault="00612ED7" w:rsidP="001338FE">
      <w:pPr>
        <w:pStyle w:val="Listenabsatz"/>
        <w:numPr>
          <w:ilvl w:val="0"/>
          <w:numId w:val="11"/>
        </w:numPr>
        <w:rPr>
          <w:rFonts w:asciiTheme="minorHAnsi" w:hAnsiTheme="minorHAnsi" w:cs="Calibri"/>
        </w:rPr>
      </w:pPr>
      <w:r w:rsidRPr="00B05407">
        <w:rPr>
          <w:rFonts w:asciiTheme="minorHAnsi" w:hAnsiTheme="minorHAnsi" w:cs="Calibri"/>
        </w:rPr>
        <w:t>Clear technical and scientific scope</w:t>
      </w:r>
    </w:p>
    <w:p w:rsidR="00980A22" w:rsidRPr="00B05407" w:rsidRDefault="00980A22" w:rsidP="001338FE">
      <w:pPr>
        <w:pStyle w:val="Listenabsatz"/>
        <w:numPr>
          <w:ilvl w:val="0"/>
          <w:numId w:val="11"/>
        </w:numPr>
        <w:rPr>
          <w:rFonts w:asciiTheme="minorHAnsi" w:hAnsiTheme="minorHAnsi" w:cs="Calibri"/>
        </w:rPr>
      </w:pPr>
      <w:r w:rsidRPr="00B05407">
        <w:rPr>
          <w:rFonts w:asciiTheme="minorHAnsi" w:hAnsiTheme="minorHAnsi" w:cs="Calibri"/>
        </w:rPr>
        <w:t>Legal form of the infrastructure</w:t>
      </w:r>
    </w:p>
    <w:p w:rsidR="00612ED7" w:rsidRPr="00B05407" w:rsidRDefault="00612ED7" w:rsidP="001338FE">
      <w:pPr>
        <w:pStyle w:val="Listenabsatz"/>
        <w:numPr>
          <w:ilvl w:val="0"/>
          <w:numId w:val="11"/>
        </w:numPr>
        <w:rPr>
          <w:rFonts w:asciiTheme="minorHAnsi" w:hAnsiTheme="minorHAnsi" w:cs="Calibri"/>
        </w:rPr>
      </w:pPr>
      <w:r w:rsidRPr="00B05407">
        <w:rPr>
          <w:rFonts w:asciiTheme="minorHAnsi" w:hAnsiTheme="minorHAnsi" w:cs="Calibri"/>
        </w:rPr>
        <w:t>Basic procurement strategy</w:t>
      </w:r>
    </w:p>
    <w:p w:rsidR="00612ED7" w:rsidRPr="00B05407" w:rsidRDefault="00612ED7" w:rsidP="001338FE">
      <w:pPr>
        <w:pStyle w:val="Listenabsatz"/>
        <w:numPr>
          <w:ilvl w:val="0"/>
          <w:numId w:val="11"/>
        </w:numPr>
        <w:rPr>
          <w:rFonts w:asciiTheme="minorHAnsi" w:hAnsiTheme="minorHAnsi" w:cs="Calibri"/>
        </w:rPr>
      </w:pPr>
      <w:r w:rsidRPr="00B05407">
        <w:rPr>
          <w:rFonts w:asciiTheme="minorHAnsi" w:hAnsiTheme="minorHAnsi" w:cs="Calibri"/>
        </w:rPr>
        <w:t>Budget and funding decision</w:t>
      </w:r>
    </w:p>
    <w:p w:rsidR="00612ED7" w:rsidRPr="00B05407" w:rsidRDefault="00612ED7" w:rsidP="001338FE">
      <w:pPr>
        <w:pStyle w:val="Listenabsatz"/>
        <w:numPr>
          <w:ilvl w:val="0"/>
          <w:numId w:val="11"/>
        </w:numPr>
        <w:rPr>
          <w:rFonts w:asciiTheme="minorHAnsi" w:hAnsiTheme="minorHAnsi" w:cs="Calibri"/>
        </w:rPr>
      </w:pPr>
      <w:r w:rsidRPr="00B05407">
        <w:rPr>
          <w:rFonts w:asciiTheme="minorHAnsi" w:hAnsiTheme="minorHAnsi" w:cs="Calibri"/>
        </w:rPr>
        <w:t>Technical project planning</w:t>
      </w:r>
    </w:p>
    <w:p w:rsidR="00612ED7" w:rsidRPr="00B05407" w:rsidRDefault="00612ED7" w:rsidP="001338FE">
      <w:pPr>
        <w:pStyle w:val="Listenabsatz"/>
        <w:numPr>
          <w:ilvl w:val="0"/>
          <w:numId w:val="11"/>
        </w:numPr>
        <w:rPr>
          <w:rFonts w:asciiTheme="minorHAnsi" w:hAnsiTheme="minorHAnsi" w:cs="Calibri"/>
        </w:rPr>
      </w:pPr>
      <w:r w:rsidRPr="00B05407">
        <w:rPr>
          <w:rFonts w:asciiTheme="minorHAnsi" w:hAnsiTheme="minorHAnsi" w:cs="Calibri"/>
        </w:rPr>
        <w:t>Piece list</w:t>
      </w:r>
    </w:p>
    <w:p w:rsidR="00612ED7" w:rsidRPr="00B05407" w:rsidRDefault="00612ED7" w:rsidP="001338FE">
      <w:pPr>
        <w:pStyle w:val="Listenabsatz"/>
        <w:numPr>
          <w:ilvl w:val="0"/>
          <w:numId w:val="11"/>
        </w:numPr>
        <w:rPr>
          <w:rFonts w:asciiTheme="minorHAnsi" w:hAnsiTheme="minorHAnsi" w:cs="Calibri"/>
        </w:rPr>
      </w:pPr>
      <w:r w:rsidRPr="00B05407">
        <w:rPr>
          <w:rFonts w:asciiTheme="minorHAnsi" w:hAnsiTheme="minorHAnsi" w:cs="Calibri"/>
        </w:rPr>
        <w:t>Cost book</w:t>
      </w:r>
    </w:p>
    <w:p w:rsidR="00612ED7" w:rsidRPr="00B05407" w:rsidRDefault="00612ED7" w:rsidP="001338FE">
      <w:pPr>
        <w:pStyle w:val="Listenabsatz"/>
        <w:numPr>
          <w:ilvl w:val="0"/>
          <w:numId w:val="11"/>
        </w:numPr>
        <w:rPr>
          <w:rFonts w:asciiTheme="minorHAnsi" w:hAnsiTheme="minorHAnsi" w:cs="Calibri"/>
        </w:rPr>
      </w:pPr>
      <w:r w:rsidRPr="00B05407">
        <w:rPr>
          <w:rFonts w:asciiTheme="minorHAnsi" w:hAnsiTheme="minorHAnsi" w:cs="Calibri"/>
        </w:rPr>
        <w:t>Detailed project and sub-project planning</w:t>
      </w:r>
    </w:p>
    <w:p w:rsidR="00612ED7" w:rsidRPr="00B05407" w:rsidRDefault="00612ED7" w:rsidP="001338FE">
      <w:pPr>
        <w:pStyle w:val="Listenabsatz"/>
        <w:numPr>
          <w:ilvl w:val="0"/>
          <w:numId w:val="11"/>
        </w:numPr>
        <w:rPr>
          <w:rFonts w:asciiTheme="minorHAnsi" w:hAnsiTheme="minorHAnsi" w:cs="Calibri"/>
        </w:rPr>
      </w:pPr>
      <w:r w:rsidRPr="00B05407">
        <w:rPr>
          <w:rFonts w:asciiTheme="minorHAnsi" w:hAnsiTheme="minorHAnsi" w:cs="Calibri"/>
        </w:rPr>
        <w:t>Detailed procurement strategy</w:t>
      </w:r>
    </w:p>
    <w:p w:rsidR="0077420F" w:rsidRPr="00B05407" w:rsidRDefault="0077420F" w:rsidP="001338FE">
      <w:pPr>
        <w:pStyle w:val="Listenabsatz"/>
        <w:numPr>
          <w:ilvl w:val="0"/>
          <w:numId w:val="11"/>
        </w:numPr>
        <w:rPr>
          <w:rFonts w:asciiTheme="minorHAnsi" w:hAnsiTheme="minorHAnsi" w:cs="Calibri"/>
        </w:rPr>
      </w:pPr>
      <w:r w:rsidRPr="00B05407">
        <w:rPr>
          <w:rFonts w:asciiTheme="minorHAnsi" w:hAnsiTheme="minorHAnsi" w:cs="Calibri"/>
        </w:rPr>
        <w:t>Specification and design</w:t>
      </w:r>
    </w:p>
    <w:p w:rsidR="0077420F" w:rsidRPr="00B05407" w:rsidRDefault="0077420F" w:rsidP="001338FE">
      <w:pPr>
        <w:pStyle w:val="Listenabsatz"/>
        <w:numPr>
          <w:ilvl w:val="0"/>
          <w:numId w:val="11"/>
        </w:numPr>
        <w:rPr>
          <w:rFonts w:asciiTheme="minorHAnsi" w:hAnsiTheme="minorHAnsi" w:cs="Calibri"/>
        </w:rPr>
      </w:pPr>
      <w:r w:rsidRPr="00B05407">
        <w:rPr>
          <w:rFonts w:asciiTheme="minorHAnsi" w:hAnsiTheme="minorHAnsi" w:cs="Calibri"/>
        </w:rPr>
        <w:t>Procurement, delivery, installation, acceptance, commissioning</w:t>
      </w:r>
    </w:p>
    <w:p w:rsidR="0077420F" w:rsidRPr="00B05407" w:rsidRDefault="0077420F" w:rsidP="001338FE">
      <w:pPr>
        <w:pStyle w:val="Listenabsatz"/>
        <w:numPr>
          <w:ilvl w:val="0"/>
          <w:numId w:val="11"/>
        </w:numPr>
        <w:rPr>
          <w:rFonts w:asciiTheme="minorHAnsi" w:hAnsiTheme="minorHAnsi" w:cs="Calibri"/>
        </w:rPr>
      </w:pPr>
      <w:r w:rsidRPr="00B05407">
        <w:rPr>
          <w:rFonts w:asciiTheme="minorHAnsi" w:hAnsiTheme="minorHAnsi" w:cs="Calibri"/>
        </w:rPr>
        <w:t>Science!</w:t>
      </w:r>
    </w:p>
    <w:p w:rsidR="00C82E8A" w:rsidRPr="00B05407" w:rsidRDefault="0077420F" w:rsidP="001338FE">
      <w:pPr>
        <w:contextualSpacing/>
        <w:rPr>
          <w:rFonts w:asciiTheme="minorHAnsi" w:hAnsiTheme="minorHAnsi" w:cs="Calibri"/>
        </w:rPr>
      </w:pPr>
      <w:r w:rsidRPr="00B05407">
        <w:rPr>
          <w:rFonts w:asciiTheme="minorHAnsi" w:hAnsiTheme="minorHAnsi" w:cs="Calibri"/>
        </w:rPr>
        <w:t xml:space="preserve">GANIL-SPIRAL2 does not exactly match this oversimplified pattern (no large infrastructure does), and where certain items, such as the DESIR </w:t>
      </w:r>
      <w:r w:rsidR="00980A22" w:rsidRPr="00B05407">
        <w:rPr>
          <w:rFonts w:asciiTheme="minorHAnsi" w:hAnsiTheme="minorHAnsi" w:cs="Calibri"/>
        </w:rPr>
        <w:t>beamline are at stages 12 and 13</w:t>
      </w:r>
      <w:r w:rsidRPr="00B05407">
        <w:rPr>
          <w:rFonts w:asciiTheme="minorHAnsi" w:hAnsiTheme="minorHAnsi" w:cs="Calibri"/>
        </w:rPr>
        <w:t xml:space="preserve">, certain sub-projects are at a conceptual stage </w:t>
      </w:r>
      <w:r w:rsidR="00D512F7" w:rsidRPr="00B05407">
        <w:rPr>
          <w:rFonts w:asciiTheme="minorHAnsi" w:hAnsiTheme="minorHAnsi" w:cs="Calibri"/>
        </w:rPr>
        <w:t xml:space="preserve">approximated by </w:t>
      </w:r>
      <w:r w:rsidR="0071767B" w:rsidRPr="00B05407">
        <w:rPr>
          <w:rFonts w:asciiTheme="minorHAnsi" w:hAnsiTheme="minorHAnsi" w:cs="Calibri"/>
        </w:rPr>
        <w:t xml:space="preserve">step </w:t>
      </w:r>
      <w:r w:rsidR="00980A22" w:rsidRPr="00B05407">
        <w:rPr>
          <w:rFonts w:asciiTheme="minorHAnsi" w:hAnsiTheme="minorHAnsi" w:cs="Calibri"/>
        </w:rPr>
        <w:t>7. Steps 8</w:t>
      </w:r>
      <w:r w:rsidR="00D512F7" w:rsidRPr="00B05407">
        <w:rPr>
          <w:rFonts w:asciiTheme="minorHAnsi" w:hAnsiTheme="minorHAnsi" w:cs="Calibri"/>
        </w:rPr>
        <w:t xml:space="preserve"> to 10 - if they are indeed to be adopted by SPIRAL2 - </w:t>
      </w:r>
      <w:r w:rsidRPr="00B05407">
        <w:rPr>
          <w:rFonts w:asciiTheme="minorHAnsi" w:hAnsiTheme="minorHAnsi" w:cs="Calibri"/>
        </w:rPr>
        <w:t xml:space="preserve"> </w:t>
      </w:r>
      <w:r w:rsidR="00D512F7" w:rsidRPr="00B05407">
        <w:rPr>
          <w:rFonts w:asciiTheme="minorHAnsi" w:hAnsiTheme="minorHAnsi" w:cs="Calibri"/>
        </w:rPr>
        <w:t>are the topic of this report.</w:t>
      </w:r>
    </w:p>
    <w:p w:rsidR="00980A22" w:rsidRPr="00B05407" w:rsidRDefault="00980A22" w:rsidP="001338FE">
      <w:pPr>
        <w:contextualSpacing/>
        <w:rPr>
          <w:rFonts w:asciiTheme="minorHAnsi" w:hAnsiTheme="minorHAnsi" w:cs="Calibri"/>
        </w:rPr>
      </w:pPr>
    </w:p>
    <w:p w:rsidR="00327ED5" w:rsidRPr="00B05407" w:rsidRDefault="00D079DB" w:rsidP="001338FE">
      <w:pPr>
        <w:contextualSpacing/>
        <w:rPr>
          <w:rFonts w:asciiTheme="minorHAnsi" w:hAnsiTheme="minorHAnsi" w:cs="Calibri"/>
        </w:rPr>
      </w:pPr>
      <w:r w:rsidRPr="00B05407">
        <w:rPr>
          <w:rFonts w:asciiTheme="minorHAnsi" w:hAnsiTheme="minorHAnsi" w:cs="Calibri"/>
        </w:rPr>
        <w:t>Here, we introduce two complementary concepts: the “wedding list”</w:t>
      </w:r>
      <w:r w:rsidR="008B1CF2" w:rsidRPr="00B05407">
        <w:rPr>
          <w:rFonts w:asciiTheme="minorHAnsi" w:hAnsiTheme="minorHAnsi" w:cs="Calibri"/>
        </w:rPr>
        <w:t xml:space="preserve"> and the creative consulta</w:t>
      </w:r>
      <w:r w:rsidRPr="00B05407">
        <w:rPr>
          <w:rFonts w:asciiTheme="minorHAnsi" w:hAnsiTheme="minorHAnsi" w:cs="Calibri"/>
        </w:rPr>
        <w:t>tion.</w:t>
      </w:r>
      <w:r w:rsidR="00E550F8" w:rsidRPr="00B05407">
        <w:rPr>
          <w:rFonts w:asciiTheme="minorHAnsi" w:hAnsiTheme="minorHAnsi" w:cs="Calibri"/>
        </w:rPr>
        <w:t xml:space="preserve"> </w:t>
      </w:r>
    </w:p>
    <w:p w:rsidR="001338FE" w:rsidRPr="00B05407" w:rsidRDefault="007E18C7" w:rsidP="001338FE">
      <w:pPr>
        <w:pStyle w:val="berschrift4"/>
        <w:contextualSpacing/>
        <w:rPr>
          <w:rFonts w:asciiTheme="minorHAnsi" w:hAnsiTheme="minorHAnsi" w:cs="Calibri"/>
          <w:sz w:val="22"/>
          <w:szCs w:val="22"/>
        </w:rPr>
      </w:pPr>
      <w:r w:rsidRPr="00B05407">
        <w:rPr>
          <w:rFonts w:asciiTheme="minorHAnsi" w:hAnsiTheme="minorHAnsi" w:cs="Calibri"/>
          <w:sz w:val="22"/>
          <w:szCs w:val="22"/>
        </w:rPr>
        <w:t>“Wedding list”</w:t>
      </w:r>
    </w:p>
    <w:p w:rsidR="00D079DB" w:rsidRPr="00B05407" w:rsidRDefault="00E550F8" w:rsidP="001338FE">
      <w:pPr>
        <w:contextualSpacing/>
        <w:rPr>
          <w:rFonts w:asciiTheme="minorHAnsi" w:hAnsiTheme="minorHAnsi" w:cs="Calibri"/>
        </w:rPr>
      </w:pPr>
      <w:r w:rsidRPr="00B05407">
        <w:rPr>
          <w:rFonts w:asciiTheme="minorHAnsi" w:hAnsiTheme="minorHAnsi" w:cs="Calibri"/>
        </w:rPr>
        <w:t xml:space="preserve">A wedding list is a list of presents that a couple compiles and from which their well-wishers can choose what to give the couple on their wedding day. In terms of IKCs, a “wedding list” is a list of parts that we know for </w:t>
      </w:r>
      <w:r w:rsidRPr="00B05407">
        <w:rPr>
          <w:rFonts w:asciiTheme="minorHAnsi" w:hAnsiTheme="minorHAnsi" w:cs="Calibri"/>
        </w:rPr>
        <w:lastRenderedPageBreak/>
        <w:t xml:space="preserve">certain our facility will need. Potential in-kind providers can </w:t>
      </w:r>
      <w:r w:rsidR="00E06638" w:rsidRPr="00B05407">
        <w:rPr>
          <w:rFonts w:asciiTheme="minorHAnsi" w:hAnsiTheme="minorHAnsi" w:cs="Calibri"/>
        </w:rPr>
        <w:t>consult</w:t>
      </w:r>
      <w:r w:rsidRPr="00B05407">
        <w:rPr>
          <w:rFonts w:asciiTheme="minorHAnsi" w:hAnsiTheme="minorHAnsi" w:cs="Calibri"/>
        </w:rPr>
        <w:t xml:space="preserve"> this list and offer to provide the parts and services that correspond to their portfolio of expertise.</w:t>
      </w:r>
    </w:p>
    <w:p w:rsidR="0071767B" w:rsidRPr="00B05407" w:rsidRDefault="0071767B" w:rsidP="001338FE">
      <w:pPr>
        <w:contextualSpacing/>
        <w:rPr>
          <w:rFonts w:asciiTheme="minorHAnsi" w:hAnsiTheme="minorHAnsi" w:cs="Calibri"/>
        </w:rPr>
      </w:pPr>
    </w:p>
    <w:p w:rsidR="006E3778" w:rsidRPr="00B05407" w:rsidRDefault="00D079DB" w:rsidP="001338FE">
      <w:pPr>
        <w:contextualSpacing/>
        <w:rPr>
          <w:rFonts w:asciiTheme="minorHAnsi" w:hAnsiTheme="minorHAnsi" w:cs="Calibri"/>
        </w:rPr>
      </w:pPr>
      <w:r w:rsidRPr="00B05407">
        <w:rPr>
          <w:rFonts w:asciiTheme="minorHAnsi" w:hAnsiTheme="minorHAnsi" w:cs="Calibri"/>
        </w:rPr>
        <w:t>The “wedding list” at FAIR is called the c</w:t>
      </w:r>
      <w:r w:rsidR="00987E6F" w:rsidRPr="00B05407">
        <w:rPr>
          <w:rFonts w:asciiTheme="minorHAnsi" w:hAnsiTheme="minorHAnsi" w:cs="Calibri"/>
        </w:rPr>
        <w:t xml:space="preserve">ost book. It is a comprehensive </w:t>
      </w:r>
      <w:r w:rsidRPr="00B05407">
        <w:rPr>
          <w:rFonts w:asciiTheme="minorHAnsi" w:hAnsiTheme="minorHAnsi" w:cs="Calibri"/>
        </w:rPr>
        <w:t xml:space="preserve">list of all parts needed for the accelerator, as well as their economic value in Euro (price point 2005). The cost book price </w:t>
      </w:r>
      <w:r w:rsidR="00E550F8" w:rsidRPr="00B05407">
        <w:rPr>
          <w:rFonts w:asciiTheme="minorHAnsi" w:hAnsiTheme="minorHAnsi" w:cs="Calibri"/>
        </w:rPr>
        <w:t>does not refer to the real costs, but rather indexes the share of the complete infrastructure that one part or set of parts comprises.</w:t>
      </w:r>
      <w:r w:rsidR="00327ED5" w:rsidRPr="00B05407">
        <w:rPr>
          <w:rFonts w:asciiTheme="minorHAnsi" w:hAnsiTheme="minorHAnsi" w:cs="Calibri"/>
        </w:rPr>
        <w:t xml:space="preserve"> </w:t>
      </w:r>
      <w:r w:rsidR="006E3778" w:rsidRPr="00B05407">
        <w:rPr>
          <w:rFonts w:asciiTheme="minorHAnsi" w:hAnsiTheme="minorHAnsi" w:cs="Calibri"/>
        </w:rPr>
        <w:t>When costs rise, the complete cost of the accelerator becomes greater but the proportion of those costs coupled to a part does not</w:t>
      </w:r>
      <w:r w:rsidR="00FA0E51" w:rsidRPr="00B05407">
        <w:rPr>
          <w:rFonts w:asciiTheme="minorHAnsi" w:hAnsiTheme="minorHAnsi" w:cs="Calibri"/>
        </w:rPr>
        <w:t xml:space="preserve"> [10]</w:t>
      </w:r>
      <w:r w:rsidR="00201B98" w:rsidRPr="00B05407">
        <w:rPr>
          <w:rFonts w:asciiTheme="minorHAnsi" w:hAnsiTheme="minorHAnsi" w:cs="Calibri"/>
        </w:rPr>
        <w:t>.</w:t>
      </w:r>
      <w:r w:rsidR="00327ED5" w:rsidRPr="00B05407">
        <w:rPr>
          <w:rFonts w:asciiTheme="minorHAnsi" w:hAnsiTheme="minorHAnsi" w:cs="Calibri"/>
        </w:rPr>
        <w:t xml:space="preserve"> The FAIR cost book does not include research and development costs, nor personnel costs. </w:t>
      </w:r>
      <w:r w:rsidR="006E3778" w:rsidRPr="00B05407">
        <w:rPr>
          <w:rFonts w:asciiTheme="minorHAnsi" w:hAnsiTheme="minorHAnsi" w:cs="Calibri"/>
        </w:rPr>
        <w:t xml:space="preserve">When prices change </w:t>
      </w:r>
      <w:r w:rsidR="001F3C64" w:rsidRPr="00B05407">
        <w:rPr>
          <w:rFonts w:asciiTheme="minorHAnsi" w:hAnsiTheme="minorHAnsi" w:cs="Calibri"/>
        </w:rPr>
        <w:t>inhomogeneously</w:t>
      </w:r>
      <w:r w:rsidR="00E06638" w:rsidRPr="00B05407">
        <w:rPr>
          <w:rFonts w:asciiTheme="minorHAnsi" w:hAnsiTheme="minorHAnsi" w:cs="Calibri"/>
        </w:rPr>
        <w:t xml:space="preserve">, the inhomogeneity </w:t>
      </w:r>
      <w:r w:rsidR="006E3778" w:rsidRPr="00B05407">
        <w:rPr>
          <w:rFonts w:asciiTheme="minorHAnsi" w:hAnsiTheme="minorHAnsi" w:cs="Calibri"/>
        </w:rPr>
        <w:t xml:space="preserve">is not corrected for in the cost book: this makes certain parts less attractive than others as time progresses and the economy and the state of the art change. As a negative result, certain essential parts have not been claimed by any shareholder and instead they have had to be tendered on the </w:t>
      </w:r>
      <w:r w:rsidR="001F3C64" w:rsidRPr="00B05407">
        <w:rPr>
          <w:rFonts w:asciiTheme="minorHAnsi" w:hAnsiTheme="minorHAnsi" w:cs="Calibri"/>
        </w:rPr>
        <w:t>open market at a greater cost, sometimes as much as 250% of the cost book value.</w:t>
      </w:r>
      <w:r w:rsidR="008C09AB" w:rsidRPr="00B05407">
        <w:rPr>
          <w:rFonts w:asciiTheme="minorHAnsi" w:hAnsiTheme="minorHAnsi" w:cs="Calibri"/>
        </w:rPr>
        <w:t xml:space="preserve"> The extra costs fall to the host institute; in the case of FAIR, this is GSI.</w:t>
      </w:r>
    </w:p>
    <w:p w:rsidR="00C156EC" w:rsidRPr="00B05407" w:rsidRDefault="00C156EC" w:rsidP="001338FE">
      <w:pPr>
        <w:contextualSpacing/>
        <w:rPr>
          <w:rFonts w:asciiTheme="minorHAnsi" w:hAnsiTheme="minorHAnsi" w:cs="Calibri"/>
        </w:rPr>
      </w:pPr>
    </w:p>
    <w:p w:rsidR="00D079DB" w:rsidRPr="00B05407" w:rsidRDefault="00327ED5" w:rsidP="001338FE">
      <w:pPr>
        <w:contextualSpacing/>
        <w:rPr>
          <w:rFonts w:asciiTheme="minorHAnsi" w:hAnsiTheme="minorHAnsi" w:cs="Calibri"/>
        </w:rPr>
      </w:pPr>
      <w:r w:rsidRPr="00B05407">
        <w:rPr>
          <w:rFonts w:asciiTheme="minorHAnsi" w:hAnsiTheme="minorHAnsi" w:cs="Calibri"/>
        </w:rPr>
        <w:t>The ESS cost book does include R&amp;D and personnel costs</w:t>
      </w:r>
      <w:r w:rsidR="006E3778" w:rsidRPr="00B05407">
        <w:rPr>
          <w:rFonts w:asciiTheme="minorHAnsi" w:hAnsiTheme="minorHAnsi" w:cs="Calibri"/>
        </w:rPr>
        <w:t>, but the cost values originally did not correspond directly to shares in the accelerator facility</w:t>
      </w:r>
      <w:r w:rsidR="00FA0E51" w:rsidRPr="00B05407">
        <w:rPr>
          <w:rFonts w:asciiTheme="minorHAnsi" w:hAnsiTheme="minorHAnsi" w:cs="Calibri"/>
        </w:rPr>
        <w:t xml:space="preserve"> [12]</w:t>
      </w:r>
      <w:r w:rsidR="006E3778" w:rsidRPr="00B05407">
        <w:rPr>
          <w:rFonts w:asciiTheme="minorHAnsi" w:hAnsiTheme="minorHAnsi" w:cs="Calibri"/>
        </w:rPr>
        <w:t xml:space="preserve">. As costs inevitably rose, this meant that ESS ran out of money and had to effectively add a second cost book to the first, making book keeping a politically fraught matter. This method has worked very well for ESS, however ESS is “too big to fail” (meaning the political sunk costs at the time of the budget overrun were too great to allow the project to fail). This approach </w:t>
      </w:r>
      <w:r w:rsidR="00D5713B" w:rsidRPr="00B05407">
        <w:rPr>
          <w:rFonts w:asciiTheme="minorHAnsi" w:hAnsiTheme="minorHAnsi" w:cs="Calibri"/>
        </w:rPr>
        <w:t>does not seem</w:t>
      </w:r>
      <w:r w:rsidR="006E3778" w:rsidRPr="00B05407">
        <w:rPr>
          <w:rFonts w:asciiTheme="minorHAnsi" w:hAnsiTheme="minorHAnsi" w:cs="Calibri"/>
        </w:rPr>
        <w:t xml:space="preserve"> app</w:t>
      </w:r>
      <w:r w:rsidR="00D5713B" w:rsidRPr="00B05407">
        <w:rPr>
          <w:rFonts w:asciiTheme="minorHAnsi" w:hAnsiTheme="minorHAnsi" w:cs="Calibri"/>
        </w:rPr>
        <w:t>ropriate for a smaller facility like SPIRAL2</w:t>
      </w:r>
      <w:r w:rsidR="00C156EC" w:rsidRPr="00B05407">
        <w:rPr>
          <w:rFonts w:asciiTheme="minorHAnsi" w:hAnsiTheme="minorHAnsi" w:cs="Calibri"/>
        </w:rPr>
        <w:t>.</w:t>
      </w:r>
    </w:p>
    <w:p w:rsidR="00C156EC" w:rsidRPr="00B05407" w:rsidRDefault="00C156EC" w:rsidP="001338FE">
      <w:pPr>
        <w:contextualSpacing/>
        <w:rPr>
          <w:rFonts w:asciiTheme="minorHAnsi" w:hAnsiTheme="minorHAnsi" w:cs="Calibri"/>
        </w:rPr>
      </w:pPr>
    </w:p>
    <w:p w:rsidR="00C82E8A" w:rsidRPr="00B05407" w:rsidRDefault="00585240" w:rsidP="001338FE">
      <w:pPr>
        <w:contextualSpacing/>
        <w:rPr>
          <w:rFonts w:asciiTheme="minorHAnsi" w:hAnsiTheme="minorHAnsi" w:cs="Calibri"/>
        </w:rPr>
      </w:pPr>
      <w:r w:rsidRPr="00B05407">
        <w:rPr>
          <w:rFonts w:asciiTheme="minorHAnsi" w:hAnsiTheme="minorHAnsi" w:cs="Calibri"/>
        </w:rPr>
        <w:t xml:space="preserve">At F4E, </w:t>
      </w:r>
      <w:r w:rsidR="00A45AB9" w:rsidRPr="00B05407">
        <w:rPr>
          <w:rFonts w:asciiTheme="minorHAnsi" w:hAnsiTheme="minorHAnsi" w:cs="Calibri"/>
        </w:rPr>
        <w:t>the prices listed in the cost book are coupled directly to the Harmonised Index of Consumer Prices (HIPC, Eurostat), the Metal Bulletin and the London Metal Exchange</w:t>
      </w:r>
      <w:r w:rsidR="00FA0E51" w:rsidRPr="00B05407">
        <w:rPr>
          <w:rFonts w:asciiTheme="minorHAnsi" w:hAnsiTheme="minorHAnsi" w:cs="Calibri"/>
        </w:rPr>
        <w:t xml:space="preserve"> [13]</w:t>
      </w:r>
      <w:r w:rsidR="00A45AB9" w:rsidRPr="00B05407">
        <w:rPr>
          <w:rFonts w:asciiTheme="minorHAnsi" w:hAnsiTheme="minorHAnsi" w:cs="Calibri"/>
        </w:rPr>
        <w:t xml:space="preserve">. As the prices of raw materials change on the world markets, the F4E cost book is </w:t>
      </w:r>
      <w:r w:rsidR="00E34400" w:rsidRPr="00B05407">
        <w:rPr>
          <w:rFonts w:asciiTheme="minorHAnsi" w:hAnsiTheme="minorHAnsi" w:cs="Calibri"/>
        </w:rPr>
        <w:t>proportionally</w:t>
      </w:r>
      <w:r w:rsidR="00A45AB9" w:rsidRPr="00B05407">
        <w:rPr>
          <w:rFonts w:asciiTheme="minorHAnsi" w:hAnsiTheme="minorHAnsi" w:cs="Calibri"/>
        </w:rPr>
        <w:t xml:space="preserve"> updated. For example, if a dipole magnet is to be built of 20% copper, 78% soft iron and 2% other materials and there is a global rise in the cost of copper, 20% of the part’s cost book value can be raised </w:t>
      </w:r>
      <w:r w:rsidR="00E34400" w:rsidRPr="00B05407">
        <w:rPr>
          <w:rFonts w:asciiTheme="minorHAnsi" w:hAnsiTheme="minorHAnsi" w:cs="Calibri"/>
        </w:rPr>
        <w:t>to adjust for this. Of course, this only works for raw materials, not personnel or R&amp;D. Of all the “wedding list” methods currently used in Europe, this is probably the fairest and most transparent, but it is also a huge investment of effort: F4E has one FTE (Mehdi Daval) working on this price indexing. Even so, he only applies the indexing to contracts over 10 million Euro; it has proven uneconomical to put the effort into indexing “small” contracts (“small” means 2 Million Euro at F4E)</w:t>
      </w:r>
      <w:r w:rsidR="00FA0E51" w:rsidRPr="00B05407">
        <w:rPr>
          <w:rFonts w:asciiTheme="minorHAnsi" w:hAnsiTheme="minorHAnsi" w:cs="Calibri"/>
        </w:rPr>
        <w:t xml:space="preserve"> [13]</w:t>
      </w:r>
      <w:r w:rsidR="00E34400" w:rsidRPr="00B05407">
        <w:rPr>
          <w:rFonts w:asciiTheme="minorHAnsi" w:hAnsiTheme="minorHAnsi" w:cs="Calibri"/>
        </w:rPr>
        <w:t>. Based on Mehdi’s experience, the authors would not recommend this type of indexing for a smaller facility such as SPIRAL2.</w:t>
      </w:r>
    </w:p>
    <w:p w:rsidR="00A67E12" w:rsidRPr="00B05407" w:rsidRDefault="007E18C7" w:rsidP="001338FE">
      <w:pPr>
        <w:pStyle w:val="berschrift4"/>
        <w:contextualSpacing/>
        <w:rPr>
          <w:rFonts w:asciiTheme="minorHAnsi" w:hAnsiTheme="minorHAnsi" w:cs="Calibri"/>
          <w:sz w:val="22"/>
          <w:szCs w:val="22"/>
        </w:rPr>
      </w:pPr>
      <w:r w:rsidRPr="00B05407">
        <w:rPr>
          <w:rFonts w:asciiTheme="minorHAnsi" w:hAnsiTheme="minorHAnsi" w:cs="Calibri"/>
          <w:sz w:val="22"/>
          <w:szCs w:val="22"/>
        </w:rPr>
        <w:t>Creative consultation</w:t>
      </w:r>
    </w:p>
    <w:p w:rsidR="00C156EC" w:rsidRPr="00B05407" w:rsidRDefault="00E3189F" w:rsidP="001338FE">
      <w:pPr>
        <w:contextualSpacing/>
        <w:rPr>
          <w:rFonts w:asciiTheme="minorHAnsi" w:hAnsiTheme="minorHAnsi" w:cs="Calibri"/>
        </w:rPr>
      </w:pPr>
      <w:r w:rsidRPr="00B05407">
        <w:rPr>
          <w:rFonts w:asciiTheme="minorHAnsi" w:hAnsiTheme="minorHAnsi" w:cs="Calibri"/>
        </w:rPr>
        <w:t>At an earlier stage</w:t>
      </w:r>
      <w:r w:rsidR="004055AF" w:rsidRPr="00B05407">
        <w:rPr>
          <w:rFonts w:asciiTheme="minorHAnsi" w:hAnsiTheme="minorHAnsi" w:cs="Calibri"/>
        </w:rPr>
        <w:t xml:space="preserve"> (up to around stage 6 of the list above</w:t>
      </w:r>
      <w:r w:rsidRPr="00B05407">
        <w:rPr>
          <w:rFonts w:asciiTheme="minorHAnsi" w:hAnsiTheme="minorHAnsi" w:cs="Calibri"/>
        </w:rPr>
        <w:t>), decisions are still open and stakeholders are part of the planning and decision process. At this point, the scope is still open and the creative suggestions and wishes of potential providers are welcome and necessary</w:t>
      </w:r>
      <w:r w:rsidR="00FA0E51" w:rsidRPr="00B05407">
        <w:rPr>
          <w:rFonts w:asciiTheme="minorHAnsi" w:hAnsiTheme="minorHAnsi" w:cs="Calibri"/>
        </w:rPr>
        <w:t xml:space="preserve"> [14]</w:t>
      </w:r>
      <w:r w:rsidRPr="00B05407">
        <w:rPr>
          <w:rFonts w:asciiTheme="minorHAnsi" w:hAnsiTheme="minorHAnsi" w:cs="Calibri"/>
        </w:rPr>
        <w:t xml:space="preserve">. </w:t>
      </w:r>
    </w:p>
    <w:p w:rsidR="00C156EC" w:rsidRPr="00B05407" w:rsidRDefault="00C156EC" w:rsidP="001338FE">
      <w:pPr>
        <w:contextualSpacing/>
        <w:rPr>
          <w:rFonts w:asciiTheme="minorHAnsi" w:hAnsiTheme="minorHAnsi" w:cs="Calibri"/>
        </w:rPr>
      </w:pPr>
    </w:p>
    <w:p w:rsidR="004055AF" w:rsidRPr="00B05407" w:rsidRDefault="002275C4" w:rsidP="001338FE">
      <w:pPr>
        <w:contextualSpacing/>
        <w:rPr>
          <w:rFonts w:asciiTheme="minorHAnsi" w:hAnsiTheme="minorHAnsi" w:cs="Calibri"/>
        </w:rPr>
      </w:pPr>
      <w:r w:rsidRPr="00B05407">
        <w:rPr>
          <w:rFonts w:asciiTheme="minorHAnsi" w:hAnsiTheme="minorHAnsi" w:cs="Calibri"/>
        </w:rPr>
        <w:t xml:space="preserve">How should this creative consultation be managed? How can we explore all possible scientific avenues without exploding the scope? </w:t>
      </w:r>
      <w:r w:rsidR="00192572" w:rsidRPr="00B05407">
        <w:rPr>
          <w:rFonts w:asciiTheme="minorHAnsi" w:hAnsiTheme="minorHAnsi" w:cs="Calibri"/>
        </w:rPr>
        <w:t xml:space="preserve">How can we ensure a fair market price is being postulated? </w:t>
      </w:r>
      <w:r w:rsidRPr="00B05407">
        <w:rPr>
          <w:rFonts w:asciiTheme="minorHAnsi" w:hAnsiTheme="minorHAnsi" w:cs="Calibri"/>
        </w:rPr>
        <w:t>How can we satisfy multiple</w:t>
      </w:r>
      <w:r w:rsidR="00192572" w:rsidRPr="00B05407">
        <w:rPr>
          <w:rFonts w:asciiTheme="minorHAnsi" w:hAnsiTheme="minorHAnsi" w:cs="Calibri"/>
        </w:rPr>
        <w:t xml:space="preserve"> stakeholders? </w:t>
      </w:r>
      <w:r w:rsidR="00D229E7" w:rsidRPr="00B05407">
        <w:rPr>
          <w:rFonts w:asciiTheme="minorHAnsi" w:hAnsiTheme="minorHAnsi" w:cs="Calibri"/>
        </w:rPr>
        <w:t>What budgetary and time constraints does the project have as a whole and how can these be respected?</w:t>
      </w:r>
    </w:p>
    <w:p w:rsidR="00C156EC" w:rsidRPr="00B05407" w:rsidRDefault="00C156EC" w:rsidP="001338FE">
      <w:pPr>
        <w:contextualSpacing/>
        <w:rPr>
          <w:rFonts w:asciiTheme="minorHAnsi" w:hAnsiTheme="minorHAnsi" w:cs="Calibri"/>
        </w:rPr>
      </w:pPr>
    </w:p>
    <w:p w:rsidR="00E3189F" w:rsidRPr="00B05407" w:rsidRDefault="00D229E7" w:rsidP="001338FE">
      <w:pPr>
        <w:contextualSpacing/>
        <w:rPr>
          <w:rFonts w:asciiTheme="minorHAnsi" w:hAnsiTheme="minorHAnsi" w:cs="Calibri"/>
        </w:rPr>
      </w:pPr>
      <w:r w:rsidRPr="00B05407">
        <w:rPr>
          <w:rFonts w:asciiTheme="minorHAnsi" w:hAnsiTheme="minorHAnsi" w:cs="Calibri"/>
        </w:rPr>
        <w:t xml:space="preserve">This scope-finding process is usually managed </w:t>
      </w:r>
      <w:r w:rsidR="0043277C" w:rsidRPr="00B05407">
        <w:rPr>
          <w:rFonts w:asciiTheme="minorHAnsi" w:hAnsiTheme="minorHAnsi" w:cs="Calibri"/>
        </w:rPr>
        <w:t xml:space="preserve">and prioritized </w:t>
      </w:r>
      <w:r w:rsidRPr="00B05407">
        <w:rPr>
          <w:rFonts w:asciiTheme="minorHAnsi" w:hAnsiTheme="minorHAnsi" w:cs="Calibri"/>
        </w:rPr>
        <w:t>by a s</w:t>
      </w:r>
      <w:r w:rsidR="009A4764" w:rsidRPr="00B05407">
        <w:rPr>
          <w:rFonts w:asciiTheme="minorHAnsi" w:hAnsiTheme="minorHAnsi" w:cs="Calibri"/>
        </w:rPr>
        <w:t>cientific or machi</w:t>
      </w:r>
      <w:r w:rsidR="00A636E0">
        <w:rPr>
          <w:rFonts w:asciiTheme="minorHAnsi" w:hAnsiTheme="minorHAnsi" w:cs="Calibri"/>
        </w:rPr>
        <w:t>ne committee such as GANIL’s Scientific Advisory Committee</w:t>
      </w:r>
      <w:r w:rsidR="005677CF" w:rsidRPr="00B05407">
        <w:rPr>
          <w:rFonts w:asciiTheme="minorHAnsi" w:hAnsiTheme="minorHAnsi" w:cs="Calibri"/>
        </w:rPr>
        <w:t>[2]</w:t>
      </w:r>
      <w:r w:rsidR="009A4764" w:rsidRPr="00B05407">
        <w:rPr>
          <w:rFonts w:asciiTheme="minorHAnsi" w:hAnsiTheme="minorHAnsi" w:cs="Calibri"/>
        </w:rPr>
        <w:t xml:space="preserve">. The process might take the form of a formal call for proposals and be supported by a series of brainstorming-type discussions and consultation with user groups and other stakeholders. </w:t>
      </w:r>
    </w:p>
    <w:p w:rsidR="00E3189F" w:rsidRPr="00B05407" w:rsidRDefault="00BD62A8" w:rsidP="001338FE">
      <w:pPr>
        <w:pStyle w:val="berschrift4"/>
        <w:contextualSpacing/>
        <w:rPr>
          <w:rFonts w:asciiTheme="minorHAnsi" w:hAnsiTheme="minorHAnsi" w:cs="Calibri"/>
          <w:sz w:val="22"/>
          <w:szCs w:val="22"/>
        </w:rPr>
      </w:pPr>
      <w:r w:rsidRPr="00B05407">
        <w:rPr>
          <w:rFonts w:asciiTheme="minorHAnsi" w:hAnsiTheme="minorHAnsi" w:cs="Calibri"/>
          <w:sz w:val="22"/>
          <w:szCs w:val="22"/>
        </w:rPr>
        <w:lastRenderedPageBreak/>
        <w:t>Sliding Scope</w:t>
      </w:r>
    </w:p>
    <w:p w:rsidR="00E3189F" w:rsidRPr="00B05407" w:rsidRDefault="00AB7207" w:rsidP="001338FE">
      <w:pPr>
        <w:contextualSpacing/>
        <w:rPr>
          <w:rFonts w:asciiTheme="minorHAnsi" w:hAnsiTheme="minorHAnsi" w:cs="Calibri"/>
        </w:rPr>
      </w:pPr>
      <w:r w:rsidRPr="00B05407">
        <w:rPr>
          <w:rFonts w:asciiTheme="minorHAnsi" w:hAnsiTheme="minorHAnsi" w:cs="Calibri"/>
        </w:rPr>
        <w:t>At SPIRAL2 w</w:t>
      </w:r>
      <w:r w:rsidR="00E3189F" w:rsidRPr="00B05407">
        <w:rPr>
          <w:rFonts w:asciiTheme="minorHAnsi" w:hAnsiTheme="minorHAnsi" w:cs="Calibri"/>
        </w:rPr>
        <w:t xml:space="preserve">e have a mixture: </w:t>
      </w:r>
      <w:r w:rsidRPr="00B05407">
        <w:rPr>
          <w:rFonts w:asciiTheme="minorHAnsi" w:hAnsiTheme="minorHAnsi" w:cs="Calibri"/>
        </w:rPr>
        <w:t xml:space="preserve">a </w:t>
      </w:r>
      <w:r w:rsidR="00E3189F" w:rsidRPr="00B05407">
        <w:rPr>
          <w:rFonts w:asciiTheme="minorHAnsi" w:hAnsiTheme="minorHAnsi" w:cs="Calibri"/>
        </w:rPr>
        <w:t>sliding scope</w:t>
      </w:r>
      <w:r w:rsidRPr="00B05407">
        <w:rPr>
          <w:rFonts w:asciiTheme="minorHAnsi" w:hAnsiTheme="minorHAnsi" w:cs="Calibri"/>
        </w:rPr>
        <w:t xml:space="preserve"> in which certain items, such as the DESIR beam line, are well defined</w:t>
      </w:r>
      <w:r w:rsidR="0043277C" w:rsidRPr="00B05407">
        <w:rPr>
          <w:rFonts w:asciiTheme="minorHAnsi" w:hAnsiTheme="minorHAnsi" w:cs="Calibri"/>
        </w:rPr>
        <w:t xml:space="preserve"> </w:t>
      </w:r>
      <w:r w:rsidR="00BD62A8" w:rsidRPr="00B05407">
        <w:rPr>
          <w:rFonts w:asciiTheme="minorHAnsi" w:hAnsiTheme="minorHAnsi" w:cs="Calibri"/>
        </w:rPr>
        <w:t xml:space="preserve">on a </w:t>
      </w:r>
      <w:r w:rsidR="0043277C" w:rsidRPr="00B05407">
        <w:rPr>
          <w:rFonts w:asciiTheme="minorHAnsi" w:hAnsiTheme="minorHAnsi" w:cs="Calibri"/>
        </w:rPr>
        <w:t>“wedding list” and other parts of the project are open for creative consultation.</w:t>
      </w:r>
      <w:r w:rsidR="000B50BD" w:rsidRPr="00B05407">
        <w:rPr>
          <w:rFonts w:asciiTheme="minorHAnsi" w:hAnsiTheme="minorHAnsi" w:cs="Calibri"/>
        </w:rPr>
        <w:t xml:space="preserve"> In fact,</w:t>
      </w:r>
      <w:r w:rsidR="003C5A81">
        <w:rPr>
          <w:rFonts w:asciiTheme="minorHAnsi" w:hAnsiTheme="minorHAnsi" w:cs="Calibri"/>
        </w:rPr>
        <w:t xml:space="preserve"> the two models can be applied</w:t>
      </w:r>
      <w:r w:rsidR="008C09AB" w:rsidRPr="00B05407">
        <w:rPr>
          <w:rFonts w:asciiTheme="minorHAnsi" w:hAnsiTheme="minorHAnsi" w:cs="Calibri"/>
        </w:rPr>
        <w:t xml:space="preserve"> consecutively or iteratively.</w:t>
      </w:r>
    </w:p>
    <w:p w:rsidR="008C09AB" w:rsidRPr="00B05407" w:rsidRDefault="008C09AB" w:rsidP="001338FE">
      <w:pPr>
        <w:contextualSpacing/>
        <w:rPr>
          <w:rFonts w:asciiTheme="minorHAnsi" w:hAnsiTheme="minorHAnsi" w:cs="Calibri"/>
        </w:rPr>
      </w:pPr>
    </w:p>
    <w:p w:rsidR="00A67E12" w:rsidRPr="00B05407" w:rsidRDefault="00EC36F8" w:rsidP="001338FE">
      <w:pPr>
        <w:contextualSpacing/>
        <w:rPr>
          <w:rFonts w:asciiTheme="minorHAnsi" w:hAnsiTheme="minorHAnsi" w:cs="Calibri"/>
        </w:rPr>
      </w:pPr>
      <w:r w:rsidRPr="00B05407">
        <w:rPr>
          <w:rFonts w:asciiTheme="minorHAnsi" w:hAnsiTheme="minorHAnsi" w:cs="Calibri"/>
        </w:rPr>
        <w:t>In designing a hybrid of the two models, t</w:t>
      </w:r>
      <w:r w:rsidR="0043277C" w:rsidRPr="00B05407">
        <w:rPr>
          <w:rFonts w:asciiTheme="minorHAnsi" w:hAnsiTheme="minorHAnsi" w:cs="Calibri"/>
        </w:rPr>
        <w:t xml:space="preserve">here are several pitfalls we need to avoid. Where part of the scope is fixed, it is easy to imagine that the items involved are of a higher (scientific) priority than the loosely planned items. This need absolutely not be the case, however resources will naturally be assigned to items of known value and provenance at the expense of possibly more important late items. Thus as the scope shifts, priorities must be reassessed and the revised priorities reflected in </w:t>
      </w:r>
      <w:r w:rsidR="00F07BD1" w:rsidRPr="00B05407">
        <w:rPr>
          <w:rFonts w:asciiTheme="minorHAnsi" w:hAnsiTheme="minorHAnsi" w:cs="Calibri"/>
        </w:rPr>
        <w:t xml:space="preserve">the </w:t>
      </w:r>
      <w:r w:rsidR="0043277C" w:rsidRPr="00B05407">
        <w:rPr>
          <w:rFonts w:asciiTheme="minorHAnsi" w:hAnsiTheme="minorHAnsi" w:cs="Calibri"/>
        </w:rPr>
        <w:t xml:space="preserve">schedule and </w:t>
      </w:r>
      <w:r w:rsidR="00F07BD1" w:rsidRPr="00B05407">
        <w:rPr>
          <w:rFonts w:asciiTheme="minorHAnsi" w:hAnsiTheme="minorHAnsi" w:cs="Calibri"/>
        </w:rPr>
        <w:t>resource allocation</w:t>
      </w:r>
      <w:r w:rsidR="0043277C" w:rsidRPr="00B05407">
        <w:rPr>
          <w:rFonts w:asciiTheme="minorHAnsi" w:hAnsiTheme="minorHAnsi" w:cs="Calibri"/>
        </w:rPr>
        <w:t>.</w:t>
      </w:r>
      <w:r w:rsidR="00F07BD1" w:rsidRPr="00B05407">
        <w:rPr>
          <w:rFonts w:asciiTheme="minorHAnsi" w:hAnsiTheme="minorHAnsi" w:cs="Calibri"/>
        </w:rPr>
        <w:t xml:space="preserve"> </w:t>
      </w:r>
    </w:p>
    <w:p w:rsidR="001338FE" w:rsidRPr="00B05407" w:rsidRDefault="001338FE" w:rsidP="001338FE">
      <w:pPr>
        <w:contextualSpacing/>
        <w:rPr>
          <w:rFonts w:asciiTheme="minorHAnsi" w:hAnsiTheme="minorHAnsi" w:cs="Calibri"/>
        </w:rPr>
      </w:pPr>
    </w:p>
    <w:p w:rsidR="00325069" w:rsidRPr="00B05407" w:rsidRDefault="00EC36F8" w:rsidP="001338FE">
      <w:pPr>
        <w:contextualSpacing/>
        <w:rPr>
          <w:rFonts w:asciiTheme="minorHAnsi" w:hAnsiTheme="minorHAnsi" w:cs="Calibri"/>
        </w:rPr>
      </w:pPr>
      <w:r w:rsidRPr="00B05407">
        <w:rPr>
          <w:rFonts w:asciiTheme="minorHAnsi" w:hAnsiTheme="minorHAnsi" w:cs="Calibri"/>
        </w:rPr>
        <w:t>Like everyone else, scientists</w:t>
      </w:r>
      <w:r w:rsidR="00F07BD1" w:rsidRPr="00B05407">
        <w:rPr>
          <w:rFonts w:asciiTheme="minorHAnsi" w:hAnsiTheme="minorHAnsi" w:cs="Calibri"/>
        </w:rPr>
        <w:t xml:space="preserve"> like to spend more time and energy on interesting topics than on the humdrum. At FAIR, we experienced </w:t>
      </w:r>
      <w:r w:rsidR="00325069" w:rsidRPr="00B05407">
        <w:rPr>
          <w:rFonts w:asciiTheme="minorHAnsi" w:hAnsiTheme="minorHAnsi" w:cs="Calibri"/>
        </w:rPr>
        <w:t xml:space="preserve">this first hand as shareholders </w:t>
      </w:r>
      <w:r w:rsidR="005677CF" w:rsidRPr="00B05407">
        <w:rPr>
          <w:rFonts w:asciiTheme="minorHAnsi" w:hAnsiTheme="minorHAnsi" w:cs="Calibri"/>
        </w:rPr>
        <w:t>clamoured</w:t>
      </w:r>
      <w:r w:rsidR="00325069" w:rsidRPr="00B05407">
        <w:rPr>
          <w:rFonts w:asciiTheme="minorHAnsi" w:hAnsiTheme="minorHAnsi" w:cs="Calibri"/>
        </w:rPr>
        <w:t xml:space="preserve"> to produce “attractive” items, leaving other items unclaimed and </w:t>
      </w:r>
      <w:r w:rsidR="00BD62A8" w:rsidRPr="00B05407">
        <w:rPr>
          <w:rFonts w:asciiTheme="minorHAnsi" w:hAnsiTheme="minorHAnsi" w:cs="Calibri"/>
        </w:rPr>
        <w:t xml:space="preserve">even </w:t>
      </w:r>
      <w:r w:rsidR="00325069" w:rsidRPr="00B05407">
        <w:rPr>
          <w:rFonts w:asciiTheme="minorHAnsi" w:hAnsiTheme="minorHAnsi" w:cs="Calibri"/>
        </w:rPr>
        <w:t xml:space="preserve">underspecified. With a sliding scope, this danger is enhanced, because “dull” items will be finalized into the scope later. </w:t>
      </w:r>
      <w:r w:rsidR="006E271C" w:rsidRPr="00B05407">
        <w:rPr>
          <w:rFonts w:asciiTheme="minorHAnsi" w:hAnsiTheme="minorHAnsi" w:cs="Calibri"/>
        </w:rPr>
        <w:t>We propose a weighting mechanism to correct for relative “attractiveness</w:t>
      </w:r>
      <w:r w:rsidR="005677CF" w:rsidRPr="00B05407">
        <w:rPr>
          <w:rFonts w:asciiTheme="minorHAnsi" w:hAnsiTheme="minorHAnsi" w:cs="Calibri"/>
        </w:rPr>
        <w:t>”</w:t>
      </w:r>
      <w:r w:rsidR="006E271C" w:rsidRPr="00B05407">
        <w:rPr>
          <w:rFonts w:asciiTheme="minorHAnsi" w:hAnsiTheme="minorHAnsi" w:cs="Calibri"/>
        </w:rPr>
        <w:t xml:space="preserve"> below.</w:t>
      </w:r>
    </w:p>
    <w:p w:rsidR="001338FE" w:rsidRPr="00B05407" w:rsidRDefault="001338FE" w:rsidP="001338FE">
      <w:pPr>
        <w:contextualSpacing/>
        <w:rPr>
          <w:rFonts w:asciiTheme="minorHAnsi" w:hAnsiTheme="minorHAnsi" w:cs="Calibri"/>
        </w:rPr>
      </w:pPr>
    </w:p>
    <w:p w:rsidR="00BD62A8" w:rsidRPr="00B05407" w:rsidRDefault="00050482" w:rsidP="001338FE">
      <w:pPr>
        <w:contextualSpacing/>
        <w:rPr>
          <w:rFonts w:asciiTheme="minorHAnsi" w:hAnsiTheme="minorHAnsi" w:cs="Calibri"/>
        </w:rPr>
      </w:pPr>
      <w:r w:rsidRPr="00B05407">
        <w:rPr>
          <w:rFonts w:asciiTheme="minorHAnsi" w:hAnsiTheme="minorHAnsi" w:cs="Calibri"/>
        </w:rPr>
        <w:t>Hindsi</w:t>
      </w:r>
      <w:r w:rsidR="00600448" w:rsidRPr="00B05407">
        <w:rPr>
          <w:rFonts w:asciiTheme="minorHAnsi" w:hAnsiTheme="minorHAnsi" w:cs="Calibri"/>
        </w:rPr>
        <w:t>ght is a useful thing, and late-</w:t>
      </w:r>
      <w:r w:rsidRPr="00B05407">
        <w:rPr>
          <w:rFonts w:asciiTheme="minorHAnsi" w:hAnsiTheme="minorHAnsi" w:cs="Calibri"/>
        </w:rPr>
        <w:t>specified items will</w:t>
      </w:r>
      <w:r w:rsidR="00600448" w:rsidRPr="00B05407">
        <w:rPr>
          <w:rFonts w:asciiTheme="minorHAnsi" w:hAnsiTheme="minorHAnsi" w:cs="Calibri"/>
        </w:rPr>
        <w:t xml:space="preserve"> benefit from the knowledge we gain in designing and building early-specified items. </w:t>
      </w:r>
      <w:r w:rsidR="00EC36F8" w:rsidRPr="00B05407">
        <w:rPr>
          <w:rFonts w:asciiTheme="minorHAnsi" w:hAnsiTheme="minorHAnsi" w:cs="Calibri"/>
        </w:rPr>
        <w:t>Where early items came in over budget, it is useful to know this and correct similar late items upwards. However, it is essential that providers of early items are treated fairly and that similar items carry a similar in-kind value.</w:t>
      </w:r>
    </w:p>
    <w:p w:rsidR="001338FE" w:rsidRPr="00B05407" w:rsidRDefault="001338FE" w:rsidP="001338FE">
      <w:pPr>
        <w:contextualSpacing/>
        <w:rPr>
          <w:rFonts w:asciiTheme="minorHAnsi" w:hAnsiTheme="minorHAnsi" w:cs="Calibri"/>
        </w:rPr>
      </w:pPr>
    </w:p>
    <w:p w:rsidR="00EC36F8" w:rsidRPr="00B05407" w:rsidRDefault="00F07BD1" w:rsidP="001338FE">
      <w:pPr>
        <w:contextualSpacing/>
        <w:rPr>
          <w:rFonts w:asciiTheme="minorHAnsi" w:hAnsiTheme="minorHAnsi" w:cs="Calibri"/>
        </w:rPr>
      </w:pPr>
      <w:r w:rsidRPr="00B05407">
        <w:rPr>
          <w:rFonts w:asciiTheme="minorHAnsi" w:hAnsiTheme="minorHAnsi" w:cs="Calibri"/>
        </w:rPr>
        <w:t xml:space="preserve">Where there is the possibility for scope to be enlarged, there is the danger that the project as a whole will simply </w:t>
      </w:r>
      <w:r w:rsidR="005677CF" w:rsidRPr="00B05407">
        <w:rPr>
          <w:rFonts w:asciiTheme="minorHAnsi" w:hAnsiTheme="minorHAnsi" w:cs="Calibri"/>
        </w:rPr>
        <w:t>never finish, or that important interfaces</w:t>
      </w:r>
      <w:r w:rsidRPr="00B05407">
        <w:rPr>
          <w:rFonts w:asciiTheme="minorHAnsi" w:hAnsiTheme="minorHAnsi" w:cs="Calibri"/>
        </w:rPr>
        <w:t xml:space="preserve"> are neglected. </w:t>
      </w:r>
      <w:r w:rsidR="00325069" w:rsidRPr="00B05407">
        <w:rPr>
          <w:rFonts w:asciiTheme="minorHAnsi" w:hAnsiTheme="minorHAnsi" w:cs="Calibri"/>
        </w:rPr>
        <w:t xml:space="preserve">The committees </w:t>
      </w:r>
      <w:r w:rsidR="005677CF" w:rsidRPr="00B05407">
        <w:rPr>
          <w:rFonts w:asciiTheme="minorHAnsi" w:hAnsiTheme="minorHAnsi" w:cs="Calibri"/>
        </w:rPr>
        <w:t>supervising scope-</w:t>
      </w:r>
      <w:r w:rsidR="00BD62A8" w:rsidRPr="00B05407">
        <w:rPr>
          <w:rFonts w:asciiTheme="minorHAnsi" w:hAnsiTheme="minorHAnsi" w:cs="Calibri"/>
        </w:rPr>
        <w:t>finding need to be vigilant.</w:t>
      </w:r>
    </w:p>
    <w:p w:rsidR="001338FE" w:rsidRPr="00B05407" w:rsidRDefault="001338FE" w:rsidP="001338FE">
      <w:pPr>
        <w:contextualSpacing/>
        <w:rPr>
          <w:rFonts w:asciiTheme="minorHAnsi" w:hAnsiTheme="minorHAnsi" w:cs="Calibri"/>
        </w:rPr>
      </w:pPr>
    </w:p>
    <w:p w:rsidR="00522A7A" w:rsidRPr="00B05407" w:rsidRDefault="00EC36F8" w:rsidP="001338FE">
      <w:pPr>
        <w:contextualSpacing/>
        <w:rPr>
          <w:rFonts w:asciiTheme="minorHAnsi" w:hAnsiTheme="minorHAnsi" w:cs="Calibri"/>
        </w:rPr>
      </w:pPr>
      <w:r w:rsidRPr="00B05407">
        <w:rPr>
          <w:rFonts w:asciiTheme="minorHAnsi" w:hAnsiTheme="minorHAnsi" w:cs="Calibri"/>
        </w:rPr>
        <w:t xml:space="preserve">We recommend that GANIL-SPIRAL2 put in place a well-defined process for calls, approvals and review. </w:t>
      </w:r>
    </w:p>
    <w:p w:rsidR="00522A7A" w:rsidRPr="00B05407" w:rsidRDefault="00522A7A" w:rsidP="001338FE">
      <w:pPr>
        <w:contextualSpacing/>
        <w:rPr>
          <w:rFonts w:asciiTheme="minorHAnsi" w:hAnsiTheme="minorHAnsi" w:cs="Calibri"/>
        </w:rPr>
      </w:pPr>
      <w:r w:rsidRPr="00B05407">
        <w:rPr>
          <w:rFonts w:asciiTheme="minorHAnsi" w:hAnsiTheme="minorHAnsi" w:cs="Calibri"/>
        </w:rPr>
        <w:t>A good place to start would be by defining a review period, say every six months, and a committee</w:t>
      </w:r>
      <w:r w:rsidR="00367DCE" w:rsidRPr="00B05407">
        <w:rPr>
          <w:rFonts w:asciiTheme="minorHAnsi" w:hAnsiTheme="minorHAnsi" w:cs="Calibri"/>
        </w:rPr>
        <w:t>, the in-kind review board (IKRB)</w:t>
      </w:r>
      <w:r w:rsidR="00165DBF" w:rsidRPr="00B05407">
        <w:rPr>
          <w:rFonts w:asciiTheme="minorHAnsi" w:hAnsiTheme="minorHAnsi" w:cs="Calibri"/>
        </w:rPr>
        <w:t>,</w:t>
      </w:r>
      <w:r w:rsidRPr="00B05407">
        <w:rPr>
          <w:rFonts w:asciiTheme="minorHAnsi" w:hAnsiTheme="minorHAnsi" w:cs="Calibri"/>
        </w:rPr>
        <w:t xml:space="preserve"> to whom proposals and bids should be submitted. </w:t>
      </w:r>
      <w:r w:rsidR="00165DBF" w:rsidRPr="00B05407">
        <w:rPr>
          <w:rFonts w:asciiTheme="minorHAnsi" w:hAnsiTheme="minorHAnsi" w:cs="Calibri"/>
        </w:rPr>
        <w:t>The IKRB</w:t>
      </w:r>
      <w:r w:rsidRPr="00B05407">
        <w:rPr>
          <w:rFonts w:asciiTheme="minorHAnsi" w:hAnsiTheme="minorHAnsi" w:cs="Calibri"/>
        </w:rPr>
        <w:t xml:space="preserve"> would make decisions about the worthiness and priority of suggestions based on their scientific value alone.</w:t>
      </w:r>
    </w:p>
    <w:p w:rsidR="00C156EC" w:rsidRPr="00B05407" w:rsidRDefault="00C156EC" w:rsidP="001338FE">
      <w:pPr>
        <w:contextualSpacing/>
        <w:rPr>
          <w:rFonts w:asciiTheme="minorHAnsi" w:hAnsiTheme="minorHAnsi" w:cs="Calibri"/>
        </w:rPr>
      </w:pPr>
    </w:p>
    <w:p w:rsidR="00367DCE" w:rsidRPr="00B05407" w:rsidRDefault="00522A7A" w:rsidP="001338FE">
      <w:pPr>
        <w:contextualSpacing/>
        <w:rPr>
          <w:rFonts w:asciiTheme="minorHAnsi" w:hAnsiTheme="minorHAnsi" w:cs="Calibri"/>
        </w:rPr>
      </w:pPr>
      <w:r w:rsidRPr="00B05407">
        <w:rPr>
          <w:rFonts w:asciiTheme="minorHAnsi" w:hAnsiTheme="minorHAnsi" w:cs="Calibri"/>
        </w:rPr>
        <w:t>Based on the outcome</w:t>
      </w:r>
      <w:r w:rsidR="00367DCE" w:rsidRPr="00B05407">
        <w:rPr>
          <w:rFonts w:asciiTheme="minorHAnsi" w:hAnsiTheme="minorHAnsi" w:cs="Calibri"/>
        </w:rPr>
        <w:t xml:space="preserve"> of the IKRB</w:t>
      </w:r>
      <w:r w:rsidRPr="00B05407">
        <w:rPr>
          <w:rFonts w:asciiTheme="minorHAnsi" w:hAnsiTheme="minorHAnsi" w:cs="Calibri"/>
        </w:rPr>
        <w:t xml:space="preserve"> decisions, a second committee, the </w:t>
      </w:r>
      <w:r w:rsidR="00165DBF" w:rsidRPr="00B05407">
        <w:rPr>
          <w:rFonts w:asciiTheme="minorHAnsi" w:hAnsiTheme="minorHAnsi" w:cs="Calibri"/>
        </w:rPr>
        <w:t>cost book working group (CBWG</w:t>
      </w:r>
      <w:r w:rsidRPr="00B05407">
        <w:rPr>
          <w:rFonts w:asciiTheme="minorHAnsi" w:hAnsiTheme="minorHAnsi" w:cs="Calibri"/>
        </w:rPr>
        <w:t>) would meet every six months to (re)assign in-kind values and resources, update the “wedding list”</w:t>
      </w:r>
      <w:r w:rsidR="00367DCE" w:rsidRPr="00B05407">
        <w:rPr>
          <w:rFonts w:asciiTheme="minorHAnsi" w:hAnsiTheme="minorHAnsi" w:cs="Calibri"/>
        </w:rPr>
        <w:t>, which we will call cost book,</w:t>
      </w:r>
      <w:r w:rsidRPr="00B05407">
        <w:rPr>
          <w:rFonts w:asciiTheme="minorHAnsi" w:hAnsiTheme="minorHAnsi" w:cs="Calibri"/>
        </w:rPr>
        <w:t xml:space="preserve"> and pass scheduling decisions along to the project management. The </w:t>
      </w:r>
      <w:r w:rsidR="00165DBF" w:rsidRPr="00B05407">
        <w:rPr>
          <w:rFonts w:asciiTheme="minorHAnsi" w:hAnsiTheme="minorHAnsi" w:cs="Calibri"/>
        </w:rPr>
        <w:t>CBWG</w:t>
      </w:r>
      <w:r w:rsidRPr="00B05407">
        <w:rPr>
          <w:rFonts w:asciiTheme="minorHAnsi" w:hAnsiTheme="minorHAnsi" w:cs="Calibri"/>
        </w:rPr>
        <w:t xml:space="preserve"> should consider only resources</w:t>
      </w:r>
      <w:r w:rsidR="00367DCE" w:rsidRPr="00B05407">
        <w:rPr>
          <w:rFonts w:asciiTheme="minorHAnsi" w:hAnsiTheme="minorHAnsi" w:cs="Calibri"/>
        </w:rPr>
        <w:t>, valorisation</w:t>
      </w:r>
      <w:r w:rsidRPr="00B05407">
        <w:rPr>
          <w:rFonts w:asciiTheme="minorHAnsi" w:hAnsiTheme="minorHAnsi" w:cs="Calibri"/>
        </w:rPr>
        <w:t xml:space="preserve"> and scheduling.</w:t>
      </w:r>
    </w:p>
    <w:p w:rsidR="00C156EC" w:rsidRPr="00B05407" w:rsidRDefault="00C156EC" w:rsidP="001338FE">
      <w:pPr>
        <w:contextualSpacing/>
        <w:rPr>
          <w:rFonts w:asciiTheme="minorHAnsi" w:hAnsiTheme="minorHAnsi" w:cs="Calibri"/>
        </w:rPr>
      </w:pPr>
    </w:p>
    <w:p w:rsidR="00367DCE" w:rsidRPr="00B05407" w:rsidRDefault="00367DCE" w:rsidP="001338FE">
      <w:pPr>
        <w:contextualSpacing/>
        <w:rPr>
          <w:rFonts w:asciiTheme="minorHAnsi" w:hAnsiTheme="minorHAnsi" w:cs="Calibri"/>
        </w:rPr>
      </w:pPr>
      <w:r w:rsidRPr="00B05407">
        <w:rPr>
          <w:rFonts w:asciiTheme="minorHAnsi" w:hAnsiTheme="minorHAnsi" w:cs="Calibri"/>
        </w:rPr>
        <w:t xml:space="preserve">Providers would check the cost book after every update and bid to produce items that fit their portfolio. Items not on the cost book can be suggested to the </w:t>
      </w:r>
      <w:r w:rsidR="00165DBF" w:rsidRPr="00B05407">
        <w:rPr>
          <w:rFonts w:asciiTheme="minorHAnsi" w:hAnsiTheme="minorHAnsi" w:cs="Calibri"/>
        </w:rPr>
        <w:t>IKRB</w:t>
      </w:r>
      <w:r w:rsidRPr="00B05407">
        <w:rPr>
          <w:rFonts w:asciiTheme="minorHAnsi" w:hAnsiTheme="minorHAnsi" w:cs="Calibri"/>
        </w:rPr>
        <w:t xml:space="preserve"> for the next round.</w:t>
      </w:r>
    </w:p>
    <w:p w:rsidR="00C156EC" w:rsidRPr="00B05407" w:rsidRDefault="00C156EC" w:rsidP="001338FE">
      <w:pPr>
        <w:contextualSpacing/>
        <w:rPr>
          <w:rFonts w:asciiTheme="minorHAnsi" w:hAnsiTheme="minorHAnsi" w:cs="Calibri"/>
        </w:rPr>
      </w:pPr>
    </w:p>
    <w:p w:rsidR="00367DCE" w:rsidRPr="00B05407" w:rsidRDefault="00367DCE" w:rsidP="001338FE">
      <w:pPr>
        <w:contextualSpacing/>
        <w:rPr>
          <w:rFonts w:asciiTheme="minorHAnsi" w:hAnsiTheme="minorHAnsi" w:cs="Calibri"/>
        </w:rPr>
      </w:pPr>
      <w:r w:rsidRPr="00B05407">
        <w:rPr>
          <w:rFonts w:asciiTheme="minorHAnsi" w:hAnsiTheme="minorHAnsi" w:cs="Calibri"/>
        </w:rPr>
        <w:t xml:space="preserve">The </w:t>
      </w:r>
      <w:r w:rsidR="00522A7A" w:rsidRPr="00B05407">
        <w:rPr>
          <w:rFonts w:asciiTheme="minorHAnsi" w:hAnsiTheme="minorHAnsi" w:cs="Calibri"/>
        </w:rPr>
        <w:t xml:space="preserve">key in this recommendation is that the scientific and the valorisation processes be carried out by separate bodies that are separately </w:t>
      </w:r>
      <w:r w:rsidR="00165DBF" w:rsidRPr="00B05407">
        <w:rPr>
          <w:rFonts w:asciiTheme="minorHAnsi" w:hAnsiTheme="minorHAnsi" w:cs="Calibri"/>
        </w:rPr>
        <w:t>staffed, i.e., the IKRB and the CBWG.</w:t>
      </w:r>
      <w:r w:rsidR="00522A7A" w:rsidRPr="00B05407">
        <w:rPr>
          <w:rFonts w:asciiTheme="minorHAnsi" w:hAnsiTheme="minorHAnsi" w:cs="Calibri"/>
        </w:rPr>
        <w:t xml:space="preserve"> </w:t>
      </w:r>
      <w:r w:rsidR="00DB1980" w:rsidRPr="00B05407">
        <w:rPr>
          <w:rFonts w:asciiTheme="minorHAnsi" w:hAnsiTheme="minorHAnsi" w:cs="Calibri"/>
        </w:rPr>
        <w:t>The periodic review keeps the process on track.</w:t>
      </w:r>
      <w:r w:rsidRPr="00B05407">
        <w:rPr>
          <w:rFonts w:asciiTheme="minorHAnsi" w:hAnsiTheme="minorHAnsi" w:cs="Calibri"/>
        </w:rPr>
        <w:t xml:space="preserve"> </w:t>
      </w:r>
    </w:p>
    <w:p w:rsidR="00367DCE" w:rsidRPr="00B05407" w:rsidRDefault="00367DCE" w:rsidP="001338FE">
      <w:pPr>
        <w:contextualSpacing/>
        <w:rPr>
          <w:rFonts w:asciiTheme="minorHAnsi" w:hAnsiTheme="minorHAnsi" w:cs="Calibri"/>
        </w:rPr>
      </w:pPr>
      <w:r w:rsidRPr="00B05407">
        <w:rPr>
          <w:rFonts w:asciiTheme="minorHAnsi" w:hAnsiTheme="minorHAnsi" w:cs="Calibri"/>
        </w:rPr>
        <w:t xml:space="preserve">The </w:t>
      </w:r>
      <w:r w:rsidR="00165DBF" w:rsidRPr="00B05407">
        <w:rPr>
          <w:rFonts w:asciiTheme="minorHAnsi" w:hAnsiTheme="minorHAnsi" w:cs="Calibri"/>
        </w:rPr>
        <w:t>CBWG</w:t>
      </w:r>
      <w:r w:rsidRPr="00B05407">
        <w:rPr>
          <w:rFonts w:asciiTheme="minorHAnsi" w:hAnsiTheme="minorHAnsi" w:cs="Calibri"/>
        </w:rPr>
        <w:t xml:space="preserve"> must be a body whose decisions are respected and approved by all stakeholders. We cannot create a situation in which providers haggle about cost book values. One way to gain this approval is to have all stakeholders represented on the committee. This was the approach that FAIR initially took. A danger of this solution is that parochialism and protectionism may sometimes get the better of the committee and weaken its power or </w:t>
      </w:r>
      <w:r w:rsidR="00165DBF" w:rsidRPr="00B05407">
        <w:rPr>
          <w:rFonts w:asciiTheme="minorHAnsi" w:hAnsiTheme="minorHAnsi" w:cs="Calibri"/>
        </w:rPr>
        <w:t>potency</w:t>
      </w:r>
      <w:r w:rsidRPr="00B05407">
        <w:rPr>
          <w:rFonts w:asciiTheme="minorHAnsi" w:hAnsiTheme="minorHAnsi" w:cs="Calibri"/>
        </w:rPr>
        <w:t xml:space="preserve">. The current model at FAIR uses a </w:t>
      </w:r>
      <w:r w:rsidR="00165DBF" w:rsidRPr="00B05407">
        <w:rPr>
          <w:rFonts w:asciiTheme="minorHAnsi" w:hAnsiTheme="minorHAnsi" w:cs="Calibri"/>
        </w:rPr>
        <w:t xml:space="preserve">CBWG staffed by accelerator experts who </w:t>
      </w:r>
      <w:r w:rsidR="00165DBF" w:rsidRPr="00B05407">
        <w:rPr>
          <w:rFonts w:asciiTheme="minorHAnsi" w:hAnsiTheme="minorHAnsi" w:cs="Calibri"/>
        </w:rPr>
        <w:lastRenderedPageBreak/>
        <w:t>have no actual stake in the FAIR project. This grants them the impartiality they need to make difficult decisions quickly and fairly and to have those decisions respected by all parties.</w:t>
      </w:r>
    </w:p>
    <w:p w:rsidR="00C156EC" w:rsidRPr="00B05407" w:rsidRDefault="00C156EC" w:rsidP="001338FE">
      <w:pPr>
        <w:contextualSpacing/>
        <w:rPr>
          <w:rFonts w:asciiTheme="minorHAnsi" w:hAnsiTheme="minorHAnsi" w:cs="Calibri"/>
        </w:rPr>
      </w:pPr>
    </w:p>
    <w:p w:rsidR="000C6BB6" w:rsidRPr="00B05407" w:rsidRDefault="000C6BB6" w:rsidP="001338FE">
      <w:pPr>
        <w:contextualSpacing/>
        <w:rPr>
          <w:rFonts w:asciiTheme="minorHAnsi" w:hAnsiTheme="minorHAnsi" w:cs="Calibri"/>
        </w:rPr>
      </w:pPr>
      <w:r w:rsidRPr="00B05407">
        <w:rPr>
          <w:rFonts w:asciiTheme="minorHAnsi" w:hAnsiTheme="minorHAnsi" w:cs="Calibri"/>
        </w:rPr>
        <w:t>Both the IKRB and the CBWG should report to the existing bodies of GANIL (General Assembl</w:t>
      </w:r>
      <w:r w:rsidR="005677CF" w:rsidRPr="00B05407">
        <w:rPr>
          <w:rFonts w:asciiTheme="minorHAnsi" w:hAnsiTheme="minorHAnsi" w:cs="Calibri"/>
        </w:rPr>
        <w:t>y, CODIR</w:t>
      </w:r>
      <w:r w:rsidRPr="00B05407">
        <w:rPr>
          <w:rFonts w:asciiTheme="minorHAnsi" w:hAnsiTheme="minorHAnsi" w:cs="Calibri"/>
        </w:rPr>
        <w:t xml:space="preserve"> and directorate).</w:t>
      </w:r>
    </w:p>
    <w:p w:rsidR="00165DBF" w:rsidRPr="00B05407" w:rsidRDefault="00165DBF" w:rsidP="001338FE">
      <w:pPr>
        <w:pStyle w:val="berschrift4"/>
        <w:contextualSpacing/>
        <w:rPr>
          <w:rFonts w:asciiTheme="minorHAnsi" w:hAnsiTheme="minorHAnsi" w:cs="Calibri"/>
          <w:sz w:val="22"/>
          <w:szCs w:val="22"/>
        </w:rPr>
      </w:pPr>
      <w:r w:rsidRPr="00B05407">
        <w:rPr>
          <w:rFonts w:asciiTheme="minorHAnsi" w:hAnsiTheme="minorHAnsi" w:cs="Calibri"/>
          <w:sz w:val="22"/>
          <w:szCs w:val="22"/>
        </w:rPr>
        <w:t>Cost book</w:t>
      </w:r>
    </w:p>
    <w:p w:rsidR="006E271C" w:rsidRPr="00B05407" w:rsidRDefault="006E271C" w:rsidP="001338FE">
      <w:pPr>
        <w:contextualSpacing/>
        <w:rPr>
          <w:rFonts w:asciiTheme="minorHAnsi" w:hAnsiTheme="minorHAnsi" w:cs="Calibri"/>
        </w:rPr>
      </w:pPr>
    </w:p>
    <w:p w:rsidR="00DB1980" w:rsidRPr="00B05407" w:rsidRDefault="00165DBF" w:rsidP="001338FE">
      <w:pPr>
        <w:contextualSpacing/>
        <w:rPr>
          <w:rFonts w:asciiTheme="minorHAnsi" w:hAnsiTheme="minorHAnsi" w:cs="Calibri"/>
        </w:rPr>
      </w:pPr>
      <w:r w:rsidRPr="00B05407">
        <w:rPr>
          <w:rFonts w:asciiTheme="minorHAnsi" w:hAnsiTheme="minorHAnsi" w:cs="Calibri"/>
        </w:rPr>
        <w:t xml:space="preserve">What </w:t>
      </w:r>
      <w:r w:rsidR="00C02987" w:rsidRPr="00B05407">
        <w:rPr>
          <w:rFonts w:asciiTheme="minorHAnsi" w:hAnsiTheme="minorHAnsi" w:cs="Calibri"/>
        </w:rPr>
        <w:t xml:space="preserve">purpose should the SPIRAL2 cost book fulfil, what </w:t>
      </w:r>
      <w:r w:rsidRPr="00B05407">
        <w:rPr>
          <w:rFonts w:asciiTheme="minorHAnsi" w:hAnsiTheme="minorHAnsi" w:cs="Calibri"/>
        </w:rPr>
        <w:t xml:space="preserve">form should </w:t>
      </w:r>
      <w:r w:rsidR="00C02987" w:rsidRPr="00B05407">
        <w:rPr>
          <w:rFonts w:asciiTheme="minorHAnsi" w:hAnsiTheme="minorHAnsi" w:cs="Calibri"/>
        </w:rPr>
        <w:t xml:space="preserve">it </w:t>
      </w:r>
      <w:r w:rsidRPr="00B05407">
        <w:rPr>
          <w:rFonts w:asciiTheme="minorHAnsi" w:hAnsiTheme="minorHAnsi" w:cs="Calibri"/>
        </w:rPr>
        <w:t>take and what information should it contain? How will our accountancy work?</w:t>
      </w:r>
      <w:r w:rsidR="006E271C" w:rsidRPr="00B05407">
        <w:rPr>
          <w:rFonts w:asciiTheme="minorHAnsi" w:hAnsiTheme="minorHAnsi" w:cs="Calibri"/>
        </w:rPr>
        <w:t xml:space="preserve"> </w:t>
      </w:r>
      <w:r w:rsidR="004961C9" w:rsidRPr="00B05407">
        <w:rPr>
          <w:rFonts w:asciiTheme="minorHAnsi" w:hAnsiTheme="minorHAnsi" w:cs="Calibri"/>
        </w:rPr>
        <w:t xml:space="preserve">The cost book is a tool that </w:t>
      </w:r>
      <w:r w:rsidR="00E04562" w:rsidRPr="00B05407">
        <w:rPr>
          <w:rFonts w:asciiTheme="minorHAnsi" w:hAnsiTheme="minorHAnsi" w:cs="Calibri"/>
        </w:rPr>
        <w:t>can</w:t>
      </w:r>
      <w:r w:rsidR="004961C9" w:rsidRPr="00B05407">
        <w:rPr>
          <w:rFonts w:asciiTheme="minorHAnsi" w:hAnsiTheme="minorHAnsi" w:cs="Calibri"/>
        </w:rPr>
        <w:t xml:space="preserve"> to </w:t>
      </w:r>
      <w:r w:rsidR="00E04562" w:rsidRPr="00B05407">
        <w:rPr>
          <w:rFonts w:asciiTheme="minorHAnsi" w:hAnsiTheme="minorHAnsi" w:cs="Calibri"/>
        </w:rPr>
        <w:t xml:space="preserve">help us with </w:t>
      </w:r>
      <w:r w:rsidR="00B36C5B" w:rsidRPr="00B05407">
        <w:rPr>
          <w:rFonts w:asciiTheme="minorHAnsi" w:hAnsiTheme="minorHAnsi" w:cs="Calibri"/>
        </w:rPr>
        <w:t>some</w:t>
      </w:r>
      <w:r w:rsidR="00E04562" w:rsidRPr="00B05407">
        <w:rPr>
          <w:rFonts w:asciiTheme="minorHAnsi" w:hAnsiTheme="minorHAnsi" w:cs="Calibri"/>
        </w:rPr>
        <w:t xml:space="preserve"> or all</w:t>
      </w:r>
      <w:r w:rsidR="00B36C5B" w:rsidRPr="00B05407">
        <w:rPr>
          <w:rFonts w:asciiTheme="minorHAnsi" w:hAnsiTheme="minorHAnsi" w:cs="Calibri"/>
        </w:rPr>
        <w:t xml:space="preserve"> of the following tasks:</w:t>
      </w:r>
    </w:p>
    <w:p w:rsidR="006E271C" w:rsidRPr="00B05407" w:rsidRDefault="006E271C" w:rsidP="001338FE">
      <w:pPr>
        <w:contextualSpacing/>
        <w:rPr>
          <w:rFonts w:asciiTheme="minorHAnsi" w:hAnsiTheme="minorHAnsi" w:cs="Calibri"/>
        </w:rPr>
      </w:pPr>
    </w:p>
    <w:p w:rsidR="00B36C5B" w:rsidRPr="00B05407" w:rsidRDefault="00B36C5B" w:rsidP="001338FE">
      <w:pPr>
        <w:pStyle w:val="Listenabsatz"/>
        <w:numPr>
          <w:ilvl w:val="0"/>
          <w:numId w:val="13"/>
        </w:numPr>
        <w:rPr>
          <w:rFonts w:asciiTheme="minorHAnsi" w:hAnsiTheme="minorHAnsi" w:cs="Calibri"/>
        </w:rPr>
      </w:pPr>
      <w:r w:rsidRPr="00B05407">
        <w:rPr>
          <w:rFonts w:asciiTheme="minorHAnsi" w:hAnsiTheme="minorHAnsi" w:cs="Calibri"/>
        </w:rPr>
        <w:t>keep a running tally of each country’s contribution</w:t>
      </w:r>
      <w:r w:rsidR="006E271C" w:rsidRPr="00B05407">
        <w:rPr>
          <w:rFonts w:asciiTheme="minorHAnsi" w:hAnsiTheme="minorHAnsi" w:cs="Calibri"/>
        </w:rPr>
        <w:t>/share</w:t>
      </w:r>
    </w:p>
    <w:p w:rsidR="00B36C5B" w:rsidRPr="00B05407" w:rsidRDefault="00B36C5B" w:rsidP="001338FE">
      <w:pPr>
        <w:pStyle w:val="Listenabsatz"/>
        <w:numPr>
          <w:ilvl w:val="0"/>
          <w:numId w:val="13"/>
        </w:numPr>
        <w:rPr>
          <w:rFonts w:asciiTheme="minorHAnsi" w:hAnsiTheme="minorHAnsi" w:cs="Calibri"/>
        </w:rPr>
      </w:pPr>
      <w:r w:rsidRPr="00B05407">
        <w:rPr>
          <w:rFonts w:asciiTheme="minorHAnsi" w:hAnsiTheme="minorHAnsi" w:cs="Calibri"/>
        </w:rPr>
        <w:t>communicate our needs to providers and the marketplace</w:t>
      </w:r>
    </w:p>
    <w:p w:rsidR="006E271C" w:rsidRPr="00B05407" w:rsidRDefault="006E271C" w:rsidP="001338FE">
      <w:pPr>
        <w:pStyle w:val="Listenabsatz"/>
        <w:numPr>
          <w:ilvl w:val="0"/>
          <w:numId w:val="13"/>
        </w:numPr>
        <w:rPr>
          <w:rFonts w:asciiTheme="minorHAnsi" w:hAnsiTheme="minorHAnsi" w:cs="Calibri"/>
        </w:rPr>
      </w:pPr>
      <w:r w:rsidRPr="00B05407">
        <w:rPr>
          <w:rFonts w:asciiTheme="minorHAnsi" w:hAnsiTheme="minorHAnsi" w:cs="Calibri"/>
        </w:rPr>
        <w:t>weight and/or group items to increase their attractiveness</w:t>
      </w:r>
    </w:p>
    <w:p w:rsidR="006E271C" w:rsidRPr="00B05407" w:rsidRDefault="006E271C" w:rsidP="001338FE">
      <w:pPr>
        <w:pStyle w:val="Listenabsatz"/>
        <w:numPr>
          <w:ilvl w:val="0"/>
          <w:numId w:val="13"/>
        </w:numPr>
        <w:rPr>
          <w:rFonts w:asciiTheme="minorHAnsi" w:hAnsiTheme="minorHAnsi" w:cs="Calibri"/>
        </w:rPr>
      </w:pPr>
      <w:r w:rsidRPr="00B05407">
        <w:rPr>
          <w:rFonts w:asciiTheme="minorHAnsi" w:hAnsiTheme="minorHAnsi" w:cs="Calibri"/>
        </w:rPr>
        <w:t xml:space="preserve">track FTEs </w:t>
      </w:r>
    </w:p>
    <w:p w:rsidR="006E271C" w:rsidRPr="00B05407" w:rsidRDefault="006E271C" w:rsidP="001338FE">
      <w:pPr>
        <w:pStyle w:val="Listenabsatz"/>
        <w:numPr>
          <w:ilvl w:val="0"/>
          <w:numId w:val="13"/>
        </w:numPr>
        <w:rPr>
          <w:rFonts w:asciiTheme="minorHAnsi" w:hAnsiTheme="minorHAnsi" w:cs="Calibri"/>
        </w:rPr>
      </w:pPr>
      <w:r w:rsidRPr="00B05407">
        <w:rPr>
          <w:rFonts w:asciiTheme="minorHAnsi" w:hAnsiTheme="minorHAnsi" w:cs="Calibri"/>
        </w:rPr>
        <w:t>separate investment from running cost contributions</w:t>
      </w:r>
    </w:p>
    <w:p w:rsidR="00E04562" w:rsidRPr="00B05407" w:rsidRDefault="006E271C" w:rsidP="001338FE">
      <w:pPr>
        <w:contextualSpacing/>
        <w:rPr>
          <w:rFonts w:asciiTheme="minorHAnsi" w:hAnsiTheme="minorHAnsi" w:cs="Calibri"/>
        </w:rPr>
      </w:pPr>
      <w:r w:rsidRPr="00B05407">
        <w:rPr>
          <w:rFonts w:asciiTheme="minorHAnsi" w:hAnsiTheme="minorHAnsi" w:cs="Calibri"/>
        </w:rPr>
        <w:t>A cost book should not be a part list or a component database. These tasks should be performed by a different set of tools.</w:t>
      </w:r>
      <w:r w:rsidR="00E04562" w:rsidRPr="00B05407">
        <w:rPr>
          <w:rFonts w:asciiTheme="minorHAnsi" w:hAnsiTheme="minorHAnsi" w:cs="Calibri"/>
        </w:rPr>
        <w:t xml:space="preserve"> It also cannot keep track of the total investment value of GANIL-SPIRAL2, because a cost book does not reflect the actual invested costs/FTEs.</w:t>
      </w:r>
    </w:p>
    <w:p w:rsidR="00C156EC" w:rsidRPr="00B05407" w:rsidRDefault="00C156EC" w:rsidP="001338FE">
      <w:pPr>
        <w:contextualSpacing/>
        <w:rPr>
          <w:rFonts w:asciiTheme="minorHAnsi" w:hAnsiTheme="minorHAnsi" w:cs="Calibri"/>
        </w:rPr>
      </w:pPr>
    </w:p>
    <w:p w:rsidR="004055AF" w:rsidRPr="00B05407" w:rsidRDefault="00E04562" w:rsidP="001338FE">
      <w:pPr>
        <w:contextualSpacing/>
        <w:rPr>
          <w:rFonts w:asciiTheme="minorHAnsi" w:hAnsiTheme="minorHAnsi" w:cs="Calibri"/>
        </w:rPr>
      </w:pPr>
      <w:r w:rsidRPr="00B05407">
        <w:rPr>
          <w:rFonts w:asciiTheme="minorHAnsi" w:hAnsiTheme="minorHAnsi" w:cs="Calibri"/>
        </w:rPr>
        <w:t>We recommend that the cost book record the fair market value</w:t>
      </w:r>
      <w:r w:rsidR="000770F9" w:rsidRPr="00B05407">
        <w:rPr>
          <w:rFonts w:asciiTheme="minorHAnsi" w:hAnsiTheme="minorHAnsi" w:cs="Calibri"/>
        </w:rPr>
        <w:t xml:space="preserve"> in Euro</w:t>
      </w:r>
      <w:r w:rsidRPr="00B05407">
        <w:rPr>
          <w:rFonts w:asciiTheme="minorHAnsi" w:hAnsiTheme="minorHAnsi" w:cs="Calibri"/>
        </w:rPr>
        <w:t xml:space="preserve"> of each item or group of items as estimated by the CBWG. </w:t>
      </w:r>
      <w:r w:rsidR="000770F9" w:rsidRPr="00B05407">
        <w:rPr>
          <w:rFonts w:asciiTheme="minorHAnsi" w:hAnsiTheme="minorHAnsi" w:cs="Calibri"/>
        </w:rPr>
        <w:t>A cost point (say 1</w:t>
      </w:r>
      <w:r w:rsidR="000770F9" w:rsidRPr="00B05407">
        <w:rPr>
          <w:rFonts w:asciiTheme="minorHAnsi" w:hAnsiTheme="minorHAnsi" w:cs="Calibri"/>
          <w:vertAlign w:val="superscript"/>
        </w:rPr>
        <w:t>st</w:t>
      </w:r>
      <w:r w:rsidR="000770F9" w:rsidRPr="00B05407">
        <w:rPr>
          <w:rFonts w:asciiTheme="minorHAnsi" w:hAnsiTheme="minorHAnsi" w:cs="Calibri"/>
        </w:rPr>
        <w:t xml:space="preserve"> January 2015) and a set of inflationary figures should be fixed in order to keep cost book values comparable over time. </w:t>
      </w:r>
      <w:r w:rsidRPr="00B05407">
        <w:rPr>
          <w:rFonts w:asciiTheme="minorHAnsi" w:hAnsiTheme="minorHAnsi" w:cs="Calibri"/>
        </w:rPr>
        <w:t>“Unatt</w:t>
      </w:r>
      <w:r w:rsidR="004D6BC8" w:rsidRPr="00B05407">
        <w:rPr>
          <w:rFonts w:asciiTheme="minorHAnsi" w:hAnsiTheme="minorHAnsi" w:cs="Calibri"/>
        </w:rPr>
        <w:t xml:space="preserve">ractive” items </w:t>
      </w:r>
      <w:r w:rsidRPr="00B05407">
        <w:rPr>
          <w:rFonts w:asciiTheme="minorHAnsi" w:hAnsiTheme="minorHAnsi" w:cs="Calibri"/>
        </w:rPr>
        <w:t>can be weighted by a factor greater than one to increase their attractiveness</w:t>
      </w:r>
      <w:r w:rsidR="00D90604" w:rsidRPr="00B05407">
        <w:rPr>
          <w:rFonts w:asciiTheme="minorHAnsi" w:hAnsiTheme="minorHAnsi" w:cs="Calibri"/>
        </w:rPr>
        <w:t xml:space="preserve"> [15]</w:t>
      </w:r>
      <w:r w:rsidRPr="00B05407">
        <w:rPr>
          <w:rFonts w:asciiTheme="minorHAnsi" w:hAnsiTheme="minorHAnsi" w:cs="Calibri"/>
        </w:rPr>
        <w:t xml:space="preserve">. We suggest a factor of 1.2. Particularly “attractive” items, such as those with a high know-how return for the provider, could be weighted by 0.8. </w:t>
      </w:r>
      <w:r w:rsidR="00D90604" w:rsidRPr="00B05407">
        <w:rPr>
          <w:rFonts w:asciiTheme="minorHAnsi" w:hAnsiTheme="minorHAnsi" w:cs="Calibri"/>
        </w:rPr>
        <w:t>This reduces the burden on the host institute</w:t>
      </w:r>
      <w:r w:rsidR="004D6BC8" w:rsidRPr="00B05407">
        <w:rPr>
          <w:rFonts w:asciiTheme="minorHAnsi" w:hAnsiTheme="minorHAnsi" w:cs="Calibri"/>
        </w:rPr>
        <w:t>, which naturally will be the main provider of unattractive items like concrete.</w:t>
      </w:r>
    </w:p>
    <w:p w:rsidR="00C156EC" w:rsidRPr="00B05407" w:rsidRDefault="00C156EC" w:rsidP="001338FE">
      <w:pPr>
        <w:contextualSpacing/>
        <w:rPr>
          <w:rFonts w:asciiTheme="minorHAnsi" w:hAnsiTheme="minorHAnsi" w:cs="Calibri"/>
        </w:rPr>
      </w:pPr>
    </w:p>
    <w:p w:rsidR="000770F9" w:rsidRPr="00B05407" w:rsidRDefault="000770F9" w:rsidP="001338FE">
      <w:pPr>
        <w:contextualSpacing/>
        <w:rPr>
          <w:rFonts w:asciiTheme="minorHAnsi" w:hAnsiTheme="minorHAnsi" w:cs="Calibri"/>
        </w:rPr>
      </w:pPr>
      <w:r w:rsidRPr="00B05407">
        <w:rPr>
          <w:rFonts w:asciiTheme="minorHAnsi" w:hAnsiTheme="minorHAnsi" w:cs="Calibri"/>
        </w:rPr>
        <w:t xml:space="preserve">Not all IKC are material. Design work, modelling or theory can have their cost book value estimated by the CBWG in FTEs rather than Euro. We recommend fixing a conversion rate between FTE and Euro based on the French pay scale. FAIR deliberately excluded FTEs from its cost book. This has often resulted in FAIR bearing the brunt of labour-intensive simulation and design work and </w:t>
      </w:r>
      <w:r w:rsidR="007E18C7" w:rsidRPr="00B05407">
        <w:rPr>
          <w:rFonts w:asciiTheme="minorHAnsi" w:hAnsiTheme="minorHAnsi" w:cs="Calibri"/>
        </w:rPr>
        <w:t xml:space="preserve">has </w:t>
      </w:r>
      <w:r w:rsidRPr="00B05407">
        <w:rPr>
          <w:rFonts w:asciiTheme="minorHAnsi" w:hAnsiTheme="minorHAnsi" w:cs="Calibri"/>
        </w:rPr>
        <w:t>placed lower income co</w:t>
      </w:r>
      <w:r w:rsidR="007E18C7" w:rsidRPr="00B05407">
        <w:rPr>
          <w:rFonts w:asciiTheme="minorHAnsi" w:hAnsiTheme="minorHAnsi" w:cs="Calibri"/>
        </w:rPr>
        <w:t>u</w:t>
      </w:r>
      <w:r w:rsidRPr="00B05407">
        <w:rPr>
          <w:rFonts w:asciiTheme="minorHAnsi" w:hAnsiTheme="minorHAnsi" w:cs="Calibri"/>
        </w:rPr>
        <w:t>ntries at a disadvantage</w:t>
      </w:r>
      <w:r w:rsidR="007E18C7" w:rsidRPr="00B05407">
        <w:rPr>
          <w:rFonts w:asciiTheme="minorHAnsi" w:hAnsiTheme="minorHAnsi" w:cs="Calibri"/>
        </w:rPr>
        <w:t xml:space="preserve">. </w:t>
      </w:r>
      <w:r w:rsidRPr="00B05407">
        <w:rPr>
          <w:rFonts w:asciiTheme="minorHAnsi" w:hAnsiTheme="minorHAnsi" w:cs="Calibri"/>
        </w:rPr>
        <w:t>ESS included FTEs at the Swedish rate</w:t>
      </w:r>
      <w:r w:rsidR="007E18C7" w:rsidRPr="00B05407">
        <w:rPr>
          <w:rFonts w:asciiTheme="minorHAnsi" w:hAnsiTheme="minorHAnsi" w:cs="Calibri"/>
        </w:rPr>
        <w:t>, and they report satisfaction with this approach</w:t>
      </w:r>
      <w:r w:rsidR="007536F1" w:rsidRPr="00B05407">
        <w:rPr>
          <w:rFonts w:asciiTheme="minorHAnsi" w:hAnsiTheme="minorHAnsi" w:cs="Calibri"/>
        </w:rPr>
        <w:t xml:space="preserve"> [12]</w:t>
      </w:r>
      <w:r w:rsidR="007E18C7" w:rsidRPr="00B05407">
        <w:rPr>
          <w:rFonts w:asciiTheme="minorHAnsi" w:hAnsiTheme="minorHAnsi" w:cs="Calibri"/>
        </w:rPr>
        <w:t>.</w:t>
      </w:r>
    </w:p>
    <w:p w:rsidR="00D32A06" w:rsidRPr="00B05407" w:rsidRDefault="00D32A06" w:rsidP="001338FE">
      <w:pPr>
        <w:pStyle w:val="berschrift4"/>
        <w:contextualSpacing/>
        <w:rPr>
          <w:rFonts w:asciiTheme="minorHAnsi" w:hAnsiTheme="minorHAnsi" w:cs="Calibri"/>
          <w:sz w:val="22"/>
          <w:szCs w:val="22"/>
        </w:rPr>
      </w:pPr>
      <w:r w:rsidRPr="00B05407">
        <w:rPr>
          <w:rFonts w:asciiTheme="minorHAnsi" w:hAnsiTheme="minorHAnsi" w:cs="Calibri"/>
          <w:sz w:val="22"/>
          <w:szCs w:val="22"/>
        </w:rPr>
        <w:t xml:space="preserve">Backdating past </w:t>
      </w:r>
      <w:r w:rsidR="00667C67" w:rsidRPr="00B05407">
        <w:rPr>
          <w:rFonts w:asciiTheme="minorHAnsi" w:hAnsiTheme="minorHAnsi" w:cs="Calibri"/>
          <w:sz w:val="22"/>
          <w:szCs w:val="22"/>
        </w:rPr>
        <w:t>contributions</w:t>
      </w:r>
    </w:p>
    <w:p w:rsidR="00D32A06" w:rsidRPr="00B05407" w:rsidRDefault="00D32A06" w:rsidP="001338FE">
      <w:pPr>
        <w:contextualSpacing/>
        <w:rPr>
          <w:rFonts w:asciiTheme="minorHAnsi" w:hAnsiTheme="minorHAnsi" w:cs="Calibri"/>
        </w:rPr>
      </w:pPr>
      <w:r w:rsidRPr="00B05407">
        <w:rPr>
          <w:rFonts w:asciiTheme="minorHAnsi" w:hAnsiTheme="minorHAnsi" w:cs="Calibri"/>
        </w:rPr>
        <w:t xml:space="preserve">GANIL’s Sabrina LeCerf has compiled a comprehensive list of all previous contributions made to GANIL </w:t>
      </w:r>
      <w:r w:rsidR="00F65947" w:rsidRPr="00B05407">
        <w:rPr>
          <w:rFonts w:asciiTheme="minorHAnsi" w:hAnsiTheme="minorHAnsi" w:cs="Calibri"/>
        </w:rPr>
        <w:t>and</w:t>
      </w:r>
      <w:r w:rsidR="00667C67" w:rsidRPr="00B05407">
        <w:rPr>
          <w:rFonts w:asciiTheme="minorHAnsi" w:hAnsiTheme="minorHAnsi" w:cs="Calibri"/>
        </w:rPr>
        <w:t xml:space="preserve"> to </w:t>
      </w:r>
      <w:r w:rsidRPr="00B05407">
        <w:rPr>
          <w:rFonts w:asciiTheme="minorHAnsi" w:hAnsiTheme="minorHAnsi" w:cs="Calibri"/>
        </w:rPr>
        <w:t>SPIRAL2</w:t>
      </w:r>
      <w:r w:rsidR="007536F1" w:rsidRPr="00B05407">
        <w:rPr>
          <w:rFonts w:asciiTheme="minorHAnsi" w:hAnsiTheme="minorHAnsi" w:cs="Calibri"/>
        </w:rPr>
        <w:t xml:space="preserve"> [16]</w:t>
      </w:r>
      <w:r w:rsidRPr="00B05407">
        <w:rPr>
          <w:rFonts w:asciiTheme="minorHAnsi" w:hAnsiTheme="minorHAnsi" w:cs="Calibri"/>
        </w:rPr>
        <w:t xml:space="preserve">. </w:t>
      </w:r>
      <w:r w:rsidR="00667C67" w:rsidRPr="00B05407">
        <w:rPr>
          <w:rFonts w:asciiTheme="minorHAnsi" w:hAnsiTheme="minorHAnsi" w:cs="Calibri"/>
        </w:rPr>
        <w:t>We recommend that the GANIL General Assembly agree on an effective start date “SPIRAL2 day zero”</w:t>
      </w:r>
      <w:r w:rsidR="00347268" w:rsidRPr="00B05407">
        <w:rPr>
          <w:rFonts w:asciiTheme="minorHAnsi" w:hAnsiTheme="minorHAnsi" w:cs="Calibri"/>
        </w:rPr>
        <w:t xml:space="preserve"> </w:t>
      </w:r>
      <w:r w:rsidR="00667C67" w:rsidRPr="00B05407">
        <w:rPr>
          <w:rFonts w:asciiTheme="minorHAnsi" w:hAnsiTheme="minorHAnsi" w:cs="Calibri"/>
        </w:rPr>
        <w:t>or some other criterion by which it can be decided if a previous contribution to GANIL was made to the SPIRAL2 project or not. Past contributions that fit this criterion should be added to the cost book.</w:t>
      </w:r>
    </w:p>
    <w:p w:rsidR="0088257C" w:rsidRPr="00B05407" w:rsidRDefault="0088257C" w:rsidP="001338FE">
      <w:pPr>
        <w:contextualSpacing/>
        <w:rPr>
          <w:rFonts w:asciiTheme="minorHAnsi" w:hAnsiTheme="minorHAnsi" w:cs="Calibri"/>
        </w:rPr>
      </w:pPr>
    </w:p>
    <w:p w:rsidR="0088257C" w:rsidRPr="00B05407" w:rsidRDefault="0088257C" w:rsidP="001338FE">
      <w:pPr>
        <w:pStyle w:val="berschrift3"/>
        <w:contextualSpacing/>
        <w:rPr>
          <w:rFonts w:asciiTheme="minorHAnsi" w:hAnsiTheme="minorHAnsi" w:cs="Calibri"/>
          <w:sz w:val="32"/>
          <w:szCs w:val="22"/>
        </w:rPr>
      </w:pPr>
      <w:bookmarkStart w:id="28" w:name="_Toc532549092"/>
      <w:r w:rsidRPr="00B05407">
        <w:rPr>
          <w:rFonts w:asciiTheme="minorHAnsi" w:hAnsiTheme="minorHAnsi" w:cs="Calibri"/>
          <w:sz w:val="32"/>
          <w:szCs w:val="22"/>
        </w:rPr>
        <w:t>Section 4: Monitoring in-kind contributions</w:t>
      </w:r>
      <w:bookmarkEnd w:id="28"/>
    </w:p>
    <w:p w:rsidR="00667C67" w:rsidRPr="00B05407" w:rsidRDefault="00667C67" w:rsidP="001338FE">
      <w:pPr>
        <w:contextualSpacing/>
        <w:rPr>
          <w:rFonts w:asciiTheme="minorHAnsi" w:hAnsiTheme="minorHAnsi" w:cs="Calibri"/>
        </w:rPr>
      </w:pPr>
    </w:p>
    <w:p w:rsidR="00F65947" w:rsidRPr="00B05407" w:rsidRDefault="00B57626" w:rsidP="001338FE">
      <w:pPr>
        <w:contextualSpacing/>
        <w:rPr>
          <w:rFonts w:asciiTheme="minorHAnsi" w:hAnsiTheme="minorHAnsi" w:cs="Calibri"/>
        </w:rPr>
      </w:pPr>
      <w:r w:rsidRPr="00B05407">
        <w:rPr>
          <w:rFonts w:asciiTheme="minorHAnsi" w:hAnsiTheme="minorHAnsi" w:cs="Calibri"/>
        </w:rPr>
        <w:lastRenderedPageBreak/>
        <w:t>No single tool</w:t>
      </w:r>
      <w:r w:rsidR="00A5009E" w:rsidRPr="00B05407">
        <w:rPr>
          <w:rFonts w:asciiTheme="minorHAnsi" w:hAnsiTheme="minorHAnsi" w:cs="Calibri"/>
        </w:rPr>
        <w:t xml:space="preserve"> </w:t>
      </w:r>
      <w:r w:rsidRPr="00B05407">
        <w:rPr>
          <w:rFonts w:asciiTheme="minorHAnsi" w:hAnsiTheme="minorHAnsi" w:cs="Calibri"/>
        </w:rPr>
        <w:t>has the bandwidth to track milestones, no</w:t>
      </w:r>
      <w:r w:rsidR="008C09AB" w:rsidRPr="00B05407">
        <w:rPr>
          <w:rFonts w:asciiTheme="minorHAnsi" w:hAnsiTheme="minorHAnsi" w:cs="Calibri"/>
        </w:rPr>
        <w:t>n-cash payments, deliveries, FTEs</w:t>
      </w:r>
      <w:r w:rsidRPr="00B05407">
        <w:rPr>
          <w:rFonts w:asciiTheme="minorHAnsi" w:hAnsiTheme="minorHAnsi" w:cs="Calibri"/>
        </w:rPr>
        <w:t xml:space="preserve"> and documentation. At the same time, standard tools such as SAP, MS Project, Prince and archiving software already cover much of the ground</w:t>
      </w:r>
      <w:r w:rsidR="00CE1485" w:rsidRPr="00B05407">
        <w:rPr>
          <w:rFonts w:asciiTheme="minorHAnsi" w:hAnsiTheme="minorHAnsi" w:cs="Calibri"/>
        </w:rPr>
        <w:t xml:space="preserve"> [17]</w:t>
      </w:r>
      <w:r w:rsidRPr="00B05407">
        <w:rPr>
          <w:rFonts w:asciiTheme="minorHAnsi" w:hAnsiTheme="minorHAnsi" w:cs="Calibri"/>
        </w:rPr>
        <w:t xml:space="preserve">. </w:t>
      </w:r>
    </w:p>
    <w:p w:rsidR="00F65947" w:rsidRPr="00B05407" w:rsidRDefault="00F65947" w:rsidP="001338FE">
      <w:pPr>
        <w:contextualSpacing/>
        <w:rPr>
          <w:rFonts w:asciiTheme="minorHAnsi" w:hAnsiTheme="minorHAnsi" w:cs="Calibri"/>
        </w:rPr>
      </w:pPr>
    </w:p>
    <w:p w:rsidR="00D1617E" w:rsidRPr="00B05407" w:rsidRDefault="00B57626" w:rsidP="001338FE">
      <w:pPr>
        <w:contextualSpacing/>
        <w:rPr>
          <w:rFonts w:asciiTheme="minorHAnsi" w:hAnsiTheme="minorHAnsi" w:cs="Calibri"/>
        </w:rPr>
      </w:pPr>
      <w:r w:rsidRPr="00B05407">
        <w:rPr>
          <w:rFonts w:asciiTheme="minorHAnsi" w:hAnsiTheme="minorHAnsi" w:cs="Calibri"/>
        </w:rPr>
        <w:t xml:space="preserve">Laura Hoestlandt is responsible for contract monitoring at F4E. The most important lesson we learned from her is that some kind of multiple book-keeping is unavoidable for large-scale, dynamic procurement. </w:t>
      </w:r>
      <w:r w:rsidR="00A5009E" w:rsidRPr="00B05407">
        <w:rPr>
          <w:rFonts w:asciiTheme="minorHAnsi" w:hAnsiTheme="minorHAnsi" w:cs="Calibri"/>
        </w:rPr>
        <w:t xml:space="preserve">At F4E, </w:t>
      </w:r>
      <w:r w:rsidR="00D1617E" w:rsidRPr="00B05407">
        <w:rPr>
          <w:rFonts w:asciiTheme="minorHAnsi" w:hAnsiTheme="minorHAnsi" w:cs="Calibri"/>
        </w:rPr>
        <w:t>this has the following three ingredients</w:t>
      </w:r>
      <w:r w:rsidR="00CE1485" w:rsidRPr="00B05407">
        <w:rPr>
          <w:rFonts w:asciiTheme="minorHAnsi" w:hAnsiTheme="minorHAnsi" w:cs="Calibri"/>
        </w:rPr>
        <w:t xml:space="preserve"> [18]</w:t>
      </w:r>
      <w:r w:rsidR="00D1617E" w:rsidRPr="00B05407">
        <w:rPr>
          <w:rFonts w:asciiTheme="minorHAnsi" w:hAnsiTheme="minorHAnsi" w:cs="Calibri"/>
        </w:rPr>
        <w:t>:</w:t>
      </w:r>
    </w:p>
    <w:p w:rsidR="00D1617E" w:rsidRPr="00B05407" w:rsidRDefault="00D1617E" w:rsidP="001338FE">
      <w:pPr>
        <w:pStyle w:val="Listenabsatz"/>
        <w:numPr>
          <w:ilvl w:val="0"/>
          <w:numId w:val="10"/>
        </w:numPr>
        <w:rPr>
          <w:rFonts w:asciiTheme="minorHAnsi" w:hAnsiTheme="minorHAnsi" w:cs="Calibri"/>
        </w:rPr>
      </w:pPr>
      <w:r w:rsidRPr="00B05407">
        <w:rPr>
          <w:rFonts w:asciiTheme="minorHAnsi" w:hAnsiTheme="minorHAnsi" w:cs="Calibri"/>
        </w:rPr>
        <w:t>C</w:t>
      </w:r>
      <w:r w:rsidR="00A5009E" w:rsidRPr="00B05407">
        <w:rPr>
          <w:rFonts w:asciiTheme="minorHAnsi" w:hAnsiTheme="minorHAnsi" w:cs="Calibri"/>
        </w:rPr>
        <w:t xml:space="preserve">ontracts, amendments and documentation are handled by </w:t>
      </w:r>
      <w:r w:rsidR="00BD416D" w:rsidRPr="00B05407">
        <w:rPr>
          <w:rFonts w:asciiTheme="minorHAnsi" w:hAnsiTheme="minorHAnsi" w:cs="Calibri"/>
        </w:rPr>
        <w:t xml:space="preserve">a tailored </w:t>
      </w:r>
      <w:r w:rsidR="00A5009E" w:rsidRPr="00B05407">
        <w:rPr>
          <w:rFonts w:asciiTheme="minorHAnsi" w:hAnsiTheme="minorHAnsi" w:cs="Calibri"/>
        </w:rPr>
        <w:t xml:space="preserve">PPA sharepoint (at </w:t>
      </w:r>
      <w:r w:rsidRPr="00B05407">
        <w:rPr>
          <w:rFonts w:asciiTheme="minorHAnsi" w:hAnsiTheme="minorHAnsi" w:cs="Calibri"/>
        </w:rPr>
        <w:t xml:space="preserve">CERN, </w:t>
      </w:r>
      <w:r w:rsidR="00A5009E" w:rsidRPr="00B05407">
        <w:rPr>
          <w:rFonts w:asciiTheme="minorHAnsi" w:hAnsiTheme="minorHAnsi" w:cs="Calibri"/>
        </w:rPr>
        <w:t xml:space="preserve">FAIR, </w:t>
      </w:r>
      <w:r w:rsidRPr="00B05407">
        <w:rPr>
          <w:rFonts w:asciiTheme="minorHAnsi" w:hAnsiTheme="minorHAnsi" w:cs="Calibri"/>
        </w:rPr>
        <w:t xml:space="preserve">DESY and European XFEL, </w:t>
      </w:r>
      <w:r w:rsidR="00A5009E" w:rsidRPr="00B05407">
        <w:rPr>
          <w:rFonts w:asciiTheme="minorHAnsi" w:hAnsiTheme="minorHAnsi" w:cs="Calibri"/>
        </w:rPr>
        <w:t xml:space="preserve">this is managed on </w:t>
      </w:r>
      <w:r w:rsidR="00CE1485" w:rsidRPr="00B05407">
        <w:rPr>
          <w:rFonts w:asciiTheme="minorHAnsi" w:hAnsiTheme="minorHAnsi" w:cs="Calibri"/>
        </w:rPr>
        <w:t xml:space="preserve">various clones </w:t>
      </w:r>
      <w:r w:rsidR="00A5009E" w:rsidRPr="00B05407">
        <w:rPr>
          <w:rFonts w:asciiTheme="minorHAnsi" w:hAnsiTheme="minorHAnsi" w:cs="Calibri"/>
        </w:rPr>
        <w:t xml:space="preserve">CERN’s EDMS). </w:t>
      </w:r>
    </w:p>
    <w:p w:rsidR="00D1617E" w:rsidRPr="00B05407" w:rsidRDefault="00A5009E" w:rsidP="001338FE">
      <w:pPr>
        <w:pStyle w:val="Listenabsatz"/>
        <w:numPr>
          <w:ilvl w:val="0"/>
          <w:numId w:val="10"/>
        </w:numPr>
        <w:rPr>
          <w:rFonts w:asciiTheme="minorHAnsi" w:hAnsiTheme="minorHAnsi" w:cs="Calibri"/>
        </w:rPr>
      </w:pPr>
      <w:r w:rsidRPr="00B05407">
        <w:rPr>
          <w:rFonts w:asciiTheme="minorHAnsi" w:hAnsiTheme="minorHAnsi" w:cs="Calibri"/>
        </w:rPr>
        <w:t xml:space="preserve">Cash procurements are </w:t>
      </w:r>
      <w:r w:rsidR="00B57626" w:rsidRPr="00B05407">
        <w:rPr>
          <w:rFonts w:asciiTheme="minorHAnsi" w:hAnsiTheme="minorHAnsi" w:cs="Calibri"/>
        </w:rPr>
        <w:t xml:space="preserve">managed on SAP (as they are at </w:t>
      </w:r>
      <w:r w:rsidRPr="00B05407">
        <w:rPr>
          <w:rFonts w:asciiTheme="minorHAnsi" w:hAnsiTheme="minorHAnsi" w:cs="Calibri"/>
        </w:rPr>
        <w:t xml:space="preserve">FAIR). </w:t>
      </w:r>
    </w:p>
    <w:p w:rsidR="00FC669F" w:rsidRPr="00B05407" w:rsidRDefault="00A5009E" w:rsidP="001338FE">
      <w:pPr>
        <w:pStyle w:val="Listenabsatz"/>
        <w:numPr>
          <w:ilvl w:val="0"/>
          <w:numId w:val="10"/>
        </w:numPr>
        <w:rPr>
          <w:rFonts w:asciiTheme="minorHAnsi" w:hAnsiTheme="minorHAnsi" w:cs="Calibri"/>
        </w:rPr>
      </w:pPr>
      <w:r w:rsidRPr="00B05407">
        <w:rPr>
          <w:rFonts w:asciiTheme="minorHAnsi" w:hAnsiTheme="minorHAnsi" w:cs="Calibri"/>
        </w:rPr>
        <w:t>In addition, Laura keeps track of each contract on a database of her own devising, in which she keeps track of hold-points/quality gates/deliverables (these phrases were sometimes used interchangeably)</w:t>
      </w:r>
      <w:r w:rsidR="00D1617E" w:rsidRPr="00B05407">
        <w:rPr>
          <w:rFonts w:asciiTheme="minorHAnsi" w:hAnsiTheme="minorHAnsi" w:cs="Calibri"/>
        </w:rPr>
        <w:t xml:space="preserve">, revisions of price, scope or timetable/duration and in which she tabulates the invoices as a running account. </w:t>
      </w:r>
      <w:r w:rsidR="0056617F" w:rsidRPr="00B05407">
        <w:rPr>
          <w:rFonts w:asciiTheme="minorHAnsi" w:hAnsiTheme="minorHAnsi" w:cs="Calibri"/>
        </w:rPr>
        <w:t>This database provides reporting data.</w:t>
      </w:r>
    </w:p>
    <w:p w:rsidR="0056617F" w:rsidRPr="00B05407" w:rsidRDefault="00D1617E" w:rsidP="001338FE">
      <w:pPr>
        <w:contextualSpacing/>
        <w:rPr>
          <w:rFonts w:asciiTheme="minorHAnsi" w:hAnsiTheme="minorHAnsi" w:cs="Calibri"/>
        </w:rPr>
      </w:pPr>
      <w:r w:rsidRPr="00B05407">
        <w:rPr>
          <w:rFonts w:asciiTheme="minorHAnsi" w:hAnsiTheme="minorHAnsi" w:cs="Calibri"/>
        </w:rPr>
        <w:t xml:space="preserve">In in-kind procurement, price increases are not relevant, cash equivalency might be. Invoices are also not relevant, but it may still be useful to keep a running account if deductions for </w:t>
      </w:r>
      <w:r w:rsidR="00B57626" w:rsidRPr="00B05407">
        <w:rPr>
          <w:rFonts w:asciiTheme="minorHAnsi" w:hAnsiTheme="minorHAnsi" w:cs="Calibri"/>
        </w:rPr>
        <w:t xml:space="preserve">late delivery are envisaged, </w:t>
      </w:r>
      <w:r w:rsidRPr="00B05407">
        <w:rPr>
          <w:rFonts w:asciiTheme="minorHAnsi" w:hAnsiTheme="minorHAnsi" w:cs="Calibri"/>
        </w:rPr>
        <w:t>if the host laboratory contributes materially to the IKC</w:t>
      </w:r>
      <w:r w:rsidR="00B57626" w:rsidRPr="00B05407">
        <w:rPr>
          <w:rFonts w:asciiTheme="minorHAnsi" w:hAnsiTheme="minorHAnsi" w:cs="Calibri"/>
        </w:rPr>
        <w:t>, or if the total investment volume is to be tracked</w:t>
      </w:r>
      <w:r w:rsidRPr="00B05407">
        <w:rPr>
          <w:rFonts w:asciiTheme="minorHAnsi" w:hAnsiTheme="minorHAnsi" w:cs="Calibri"/>
        </w:rPr>
        <w:t xml:space="preserve">. This means that, although </w:t>
      </w:r>
      <w:r w:rsidR="00B57626" w:rsidRPr="00B05407">
        <w:rPr>
          <w:rFonts w:asciiTheme="minorHAnsi" w:hAnsiTheme="minorHAnsi" w:cs="Calibri"/>
        </w:rPr>
        <w:t xml:space="preserve">standard </w:t>
      </w:r>
      <w:r w:rsidRPr="00B05407">
        <w:rPr>
          <w:rFonts w:asciiTheme="minorHAnsi" w:hAnsiTheme="minorHAnsi" w:cs="Calibri"/>
        </w:rPr>
        <w:t>book</w:t>
      </w:r>
      <w:r w:rsidR="00B57626" w:rsidRPr="00B05407">
        <w:rPr>
          <w:rFonts w:asciiTheme="minorHAnsi" w:hAnsiTheme="minorHAnsi" w:cs="Calibri"/>
        </w:rPr>
        <w:t xml:space="preserve"> </w:t>
      </w:r>
      <w:r w:rsidRPr="00B05407">
        <w:rPr>
          <w:rFonts w:asciiTheme="minorHAnsi" w:hAnsiTheme="minorHAnsi" w:cs="Calibri"/>
        </w:rPr>
        <w:t>keeping via SAP is not relevant (or even</w:t>
      </w:r>
      <w:r w:rsidR="008C09AB" w:rsidRPr="00B05407">
        <w:rPr>
          <w:rFonts w:asciiTheme="minorHAnsi" w:hAnsiTheme="minorHAnsi" w:cs="Calibri"/>
        </w:rPr>
        <w:t xml:space="preserve"> appropriate) for monitoring the in-kind process</w:t>
      </w:r>
      <w:r w:rsidRPr="00B05407">
        <w:rPr>
          <w:rFonts w:asciiTheme="minorHAnsi" w:hAnsiTheme="minorHAnsi" w:cs="Calibri"/>
        </w:rPr>
        <w:t>, points 1 and 3 are still necessary for IKC monitoring.</w:t>
      </w:r>
    </w:p>
    <w:p w:rsidR="001338FE" w:rsidRPr="00B05407" w:rsidRDefault="001338FE" w:rsidP="001338FE">
      <w:pPr>
        <w:contextualSpacing/>
        <w:rPr>
          <w:rFonts w:asciiTheme="minorHAnsi" w:hAnsiTheme="minorHAnsi" w:cs="Calibri"/>
        </w:rPr>
      </w:pPr>
    </w:p>
    <w:p w:rsidR="00BD416D" w:rsidRPr="00B05407" w:rsidRDefault="00D1617E" w:rsidP="001338FE">
      <w:pPr>
        <w:contextualSpacing/>
        <w:rPr>
          <w:rFonts w:asciiTheme="minorHAnsi" w:hAnsiTheme="minorHAnsi" w:cs="Calibri"/>
          <w:highlight w:val="yellow"/>
        </w:rPr>
      </w:pPr>
      <w:r w:rsidRPr="00B05407">
        <w:rPr>
          <w:rFonts w:asciiTheme="minorHAnsi" w:hAnsiTheme="minorHAnsi" w:cs="Calibri"/>
        </w:rPr>
        <w:t>We recommend that SPIRAL2 use EDMS to track and archive agreements, specifications, drawings, documentation,</w:t>
      </w:r>
      <w:r w:rsidR="00BD416D" w:rsidRPr="00B05407">
        <w:rPr>
          <w:rFonts w:asciiTheme="minorHAnsi" w:hAnsiTheme="minorHAnsi" w:cs="Calibri"/>
        </w:rPr>
        <w:t xml:space="preserve"> quality gates, timetabling, </w:t>
      </w:r>
      <w:r w:rsidRPr="00B05407">
        <w:rPr>
          <w:rFonts w:asciiTheme="minorHAnsi" w:hAnsiTheme="minorHAnsi" w:cs="Calibri"/>
        </w:rPr>
        <w:t>delivery</w:t>
      </w:r>
      <w:r w:rsidR="00BD416D" w:rsidRPr="00B05407">
        <w:rPr>
          <w:rFonts w:asciiTheme="minorHAnsi" w:hAnsiTheme="minorHAnsi" w:cs="Calibri"/>
        </w:rPr>
        <w:t>, commissioning and decommissioning</w:t>
      </w:r>
      <w:r w:rsidRPr="00B05407">
        <w:rPr>
          <w:rFonts w:asciiTheme="minorHAnsi" w:hAnsiTheme="minorHAnsi" w:cs="Calibri"/>
        </w:rPr>
        <w:t>.</w:t>
      </w:r>
      <w:r w:rsidR="004D6BC8" w:rsidRPr="00B05407">
        <w:rPr>
          <w:rStyle w:val="Funotenzeichen"/>
          <w:rFonts w:asciiTheme="minorHAnsi" w:hAnsiTheme="minorHAnsi" w:cs="Calibri"/>
        </w:rPr>
        <w:footnoteReference w:id="2"/>
      </w:r>
      <w:r w:rsidRPr="00B05407">
        <w:rPr>
          <w:rFonts w:asciiTheme="minorHAnsi" w:hAnsiTheme="minorHAnsi" w:cs="Calibri"/>
        </w:rPr>
        <w:t xml:space="preserve"> EDMS </w:t>
      </w:r>
      <w:r w:rsidR="001E758A" w:rsidRPr="00B05407">
        <w:rPr>
          <w:rFonts w:asciiTheme="minorHAnsi" w:hAnsiTheme="minorHAnsi" w:cs="Calibri"/>
        </w:rPr>
        <w:t>and its clones are</w:t>
      </w:r>
      <w:r w:rsidRPr="00B05407">
        <w:rPr>
          <w:rFonts w:asciiTheme="minorHAnsi" w:hAnsiTheme="minorHAnsi" w:cs="Calibri"/>
        </w:rPr>
        <w:t xml:space="preserve"> already</w:t>
      </w:r>
      <w:r w:rsidR="00893AE2" w:rsidRPr="00B05407">
        <w:rPr>
          <w:rFonts w:asciiTheme="minorHAnsi" w:hAnsiTheme="minorHAnsi" w:cs="Calibri"/>
        </w:rPr>
        <w:t xml:space="preserve"> used by CERN, SESAME, </w:t>
      </w:r>
      <w:r w:rsidR="00BD416D" w:rsidRPr="00B05407">
        <w:rPr>
          <w:rFonts w:asciiTheme="minorHAnsi" w:hAnsiTheme="minorHAnsi" w:cs="Calibri"/>
        </w:rPr>
        <w:t>SLAC</w:t>
      </w:r>
      <w:r w:rsidR="00893AE2" w:rsidRPr="00B05407">
        <w:rPr>
          <w:rFonts w:asciiTheme="minorHAnsi" w:hAnsiTheme="minorHAnsi" w:cs="Calibri"/>
        </w:rPr>
        <w:t xml:space="preserve">, </w:t>
      </w:r>
      <w:r w:rsidR="00BD416D" w:rsidRPr="00B05407">
        <w:rPr>
          <w:rFonts w:asciiTheme="minorHAnsi" w:hAnsiTheme="minorHAnsi" w:cs="Calibri"/>
        </w:rPr>
        <w:t xml:space="preserve">Brookhaven national Laboratory, </w:t>
      </w:r>
      <w:r w:rsidR="00893AE2" w:rsidRPr="00B05407">
        <w:rPr>
          <w:rFonts w:asciiTheme="minorHAnsi" w:hAnsiTheme="minorHAnsi" w:cs="Calibri"/>
        </w:rPr>
        <w:t xml:space="preserve">ESS, DESY, European XFEL and FAIR. Its track record is therefore proven. </w:t>
      </w:r>
      <w:r w:rsidR="00BD416D" w:rsidRPr="00B05407">
        <w:rPr>
          <w:rFonts w:asciiTheme="minorHAnsi" w:hAnsiTheme="minorHAnsi" w:cs="Calibri"/>
        </w:rPr>
        <w:t>Even in the case of in-kind partners delivering turn-key equipment, without the design and approval of SPIRAL2, a reliable documentation and drawing archive is still needed. EDMS provides just this</w:t>
      </w:r>
      <w:r w:rsidR="007E18C7" w:rsidRPr="00B05407">
        <w:rPr>
          <w:rFonts w:asciiTheme="minorHAnsi" w:hAnsiTheme="minorHAnsi" w:cs="Calibri"/>
        </w:rPr>
        <w:t>, and it is free</w:t>
      </w:r>
      <w:r w:rsidR="001E758A" w:rsidRPr="00B05407">
        <w:rPr>
          <w:rFonts w:asciiTheme="minorHAnsi" w:hAnsiTheme="minorHAnsi" w:cs="Calibri"/>
        </w:rPr>
        <w:t xml:space="preserve"> [17, 19]</w:t>
      </w:r>
      <w:r w:rsidR="00BD416D" w:rsidRPr="00B05407">
        <w:rPr>
          <w:rFonts w:asciiTheme="minorHAnsi" w:hAnsiTheme="minorHAnsi" w:cs="Calibri"/>
        </w:rPr>
        <w:t>.</w:t>
      </w:r>
    </w:p>
    <w:p w:rsidR="001338FE" w:rsidRPr="00B05407" w:rsidRDefault="001338FE" w:rsidP="001338FE">
      <w:pPr>
        <w:contextualSpacing/>
        <w:rPr>
          <w:rFonts w:asciiTheme="minorHAnsi" w:hAnsiTheme="minorHAnsi" w:cs="Calibri"/>
          <w:b/>
        </w:rPr>
      </w:pPr>
    </w:p>
    <w:p w:rsidR="00F65947" w:rsidRPr="00B05407" w:rsidRDefault="0056617F" w:rsidP="001338FE">
      <w:pPr>
        <w:contextualSpacing/>
        <w:rPr>
          <w:rFonts w:asciiTheme="minorHAnsi" w:hAnsiTheme="minorHAnsi" w:cs="Calibri"/>
        </w:rPr>
      </w:pPr>
      <w:r w:rsidRPr="00B05407">
        <w:rPr>
          <w:rFonts w:asciiTheme="minorHAnsi" w:hAnsiTheme="minorHAnsi" w:cs="Calibri"/>
        </w:rPr>
        <w:t xml:space="preserve">For the monitoring tasks outlined in point 3, the authors are undertaking trials. Our most important recommendation here is that the monitoring process must match the person feeding and updating it very well. At F4E, one FTE is needed to keep on top of the contract monitoring, with a contractual volume of </w:t>
      </w:r>
      <w:r w:rsidR="00DD6B80" w:rsidRPr="00B05407">
        <w:rPr>
          <w:rFonts w:asciiTheme="minorHAnsi" w:hAnsiTheme="minorHAnsi" w:cs="Calibri"/>
        </w:rPr>
        <w:t>6.6 billion Euro, price point 2008</w:t>
      </w:r>
      <w:r w:rsidRPr="00B05407">
        <w:rPr>
          <w:rFonts w:asciiTheme="minorHAnsi" w:hAnsiTheme="minorHAnsi" w:cs="Calibri"/>
        </w:rPr>
        <w:t>. The person running the monitoring also designed the method. We ran F4E’s excel book-keeping as-is as a trial at FAIR, on 0.05 FTE (for a small subset of the FAIR contractual volume 2 billion Euro</w:t>
      </w:r>
      <w:r w:rsidR="00DD6B80" w:rsidRPr="00B05407">
        <w:rPr>
          <w:rFonts w:asciiTheme="minorHAnsi" w:hAnsiTheme="minorHAnsi" w:cs="Calibri"/>
        </w:rPr>
        <w:t>, price point 2005</w:t>
      </w:r>
      <w:r w:rsidRPr="00B05407">
        <w:rPr>
          <w:rFonts w:asciiTheme="minorHAnsi" w:hAnsiTheme="minorHAnsi" w:cs="Calibri"/>
        </w:rPr>
        <w:t xml:space="preserve">). The trial showed that FAIR needed a different method or more FTE (or both). </w:t>
      </w:r>
    </w:p>
    <w:p w:rsidR="00F65947" w:rsidRPr="00B05407" w:rsidRDefault="00F65947" w:rsidP="001338FE">
      <w:pPr>
        <w:contextualSpacing/>
        <w:rPr>
          <w:rFonts w:asciiTheme="minorHAnsi" w:hAnsiTheme="minorHAnsi" w:cs="Calibri"/>
        </w:rPr>
      </w:pPr>
    </w:p>
    <w:p w:rsidR="00DD6B80" w:rsidRPr="00B05407" w:rsidRDefault="00DD6B80" w:rsidP="001338FE">
      <w:pPr>
        <w:contextualSpacing/>
        <w:rPr>
          <w:rFonts w:asciiTheme="minorHAnsi" w:hAnsiTheme="minorHAnsi" w:cs="Calibri"/>
        </w:rPr>
      </w:pPr>
      <w:r w:rsidRPr="00B05407">
        <w:rPr>
          <w:rFonts w:asciiTheme="minorHAnsi" w:hAnsiTheme="minorHAnsi" w:cs="Calibri"/>
        </w:rPr>
        <w:t>GSI’s Alexander Herlert has written a tool that draws its information from EDMS and Microsoft Project and has it running for the NUSTAR collaboration (contractual volume 9 million Euro, price point 2012). In January 2019, we will extend the trial to FAIR’s Super-FRS</w:t>
      </w:r>
      <w:r w:rsidR="00D90604" w:rsidRPr="00B05407">
        <w:rPr>
          <w:rFonts w:asciiTheme="minorHAnsi" w:hAnsiTheme="minorHAnsi" w:cs="Calibri"/>
        </w:rPr>
        <w:t xml:space="preserve">. </w:t>
      </w:r>
      <w:r w:rsidRPr="00B05407">
        <w:rPr>
          <w:rFonts w:asciiTheme="minorHAnsi" w:hAnsiTheme="minorHAnsi" w:cs="Calibri"/>
        </w:rPr>
        <w:t xml:space="preserve">The authors will pass on the results of this trial to the IDEAAL coordinator and the GANIL directorate at the end of the first quarter of 2019. After the trial, the source code will be </w:t>
      </w:r>
      <w:r w:rsidR="00C82E8A" w:rsidRPr="00B05407">
        <w:rPr>
          <w:rFonts w:asciiTheme="minorHAnsi" w:hAnsiTheme="minorHAnsi" w:cs="Calibri"/>
        </w:rPr>
        <w:t>shared on a creative commons licence</w:t>
      </w:r>
      <w:r w:rsidRPr="00B05407">
        <w:rPr>
          <w:rFonts w:asciiTheme="minorHAnsi" w:hAnsiTheme="minorHAnsi" w:cs="Calibri"/>
        </w:rPr>
        <w:t>.</w:t>
      </w:r>
    </w:p>
    <w:p w:rsidR="001338FE" w:rsidRPr="00B05407" w:rsidRDefault="001338FE" w:rsidP="001338FE">
      <w:pPr>
        <w:contextualSpacing/>
        <w:rPr>
          <w:rFonts w:asciiTheme="minorHAnsi" w:hAnsiTheme="minorHAnsi" w:cs="Calibri"/>
        </w:rPr>
      </w:pPr>
    </w:p>
    <w:p w:rsidR="006D60C1" w:rsidRPr="00B05407" w:rsidRDefault="004845FF" w:rsidP="001338FE">
      <w:pPr>
        <w:contextualSpacing/>
        <w:rPr>
          <w:rFonts w:asciiTheme="minorHAnsi" w:hAnsiTheme="minorHAnsi" w:cs="Calibri"/>
        </w:rPr>
      </w:pPr>
      <w:r w:rsidRPr="00B05407">
        <w:rPr>
          <w:rFonts w:asciiTheme="minorHAnsi" w:hAnsiTheme="minorHAnsi" w:cs="Calibri"/>
        </w:rPr>
        <w:lastRenderedPageBreak/>
        <w:t>At the ESS in Lund, Miloš Davidovic and his colleagues have also developed a bespoke system for IKC monitoring. They have been pilot testing their system since the beginning of 2018, and their decision to share it (either licenced or free) depends on IP decisions to be made at directorate level</w:t>
      </w:r>
      <w:r w:rsidR="006D22B3" w:rsidRPr="00B05407">
        <w:rPr>
          <w:rFonts w:asciiTheme="minorHAnsi" w:hAnsiTheme="minorHAnsi" w:cs="Calibri"/>
        </w:rPr>
        <w:t xml:space="preserve"> [20]</w:t>
      </w:r>
      <w:r w:rsidR="006D60C1" w:rsidRPr="00B05407">
        <w:rPr>
          <w:rFonts w:asciiTheme="minorHAnsi" w:hAnsiTheme="minorHAnsi" w:cs="Calibri"/>
        </w:rPr>
        <w:t xml:space="preserve">. </w:t>
      </w:r>
    </w:p>
    <w:p w:rsidR="001338FE" w:rsidRPr="00B05407" w:rsidRDefault="001338FE" w:rsidP="001338FE">
      <w:pPr>
        <w:contextualSpacing/>
        <w:rPr>
          <w:rFonts w:asciiTheme="minorHAnsi" w:hAnsiTheme="minorHAnsi" w:cs="Calibri"/>
        </w:rPr>
      </w:pPr>
    </w:p>
    <w:p w:rsidR="00DD6B80" w:rsidRPr="00B05407" w:rsidRDefault="00DD6B80" w:rsidP="001338FE">
      <w:pPr>
        <w:contextualSpacing/>
        <w:rPr>
          <w:rFonts w:asciiTheme="minorHAnsi" w:hAnsiTheme="minorHAnsi" w:cs="Calibri"/>
        </w:rPr>
      </w:pPr>
      <w:r w:rsidRPr="00B05407">
        <w:rPr>
          <w:rFonts w:asciiTheme="minorHAnsi" w:hAnsiTheme="minorHAnsi" w:cs="Calibri"/>
        </w:rPr>
        <w:t>We recommend that the monitoring tool</w:t>
      </w:r>
      <w:r w:rsidR="00905636" w:rsidRPr="00B05407">
        <w:rPr>
          <w:rFonts w:asciiTheme="minorHAnsi" w:hAnsiTheme="minorHAnsi" w:cs="Calibri"/>
        </w:rPr>
        <w:t xml:space="preserve"> adopted by SPIRAL2</w:t>
      </w:r>
      <w:r w:rsidRPr="00B05407">
        <w:rPr>
          <w:rFonts w:asciiTheme="minorHAnsi" w:hAnsiTheme="minorHAnsi" w:cs="Calibri"/>
        </w:rPr>
        <w:t xml:space="preserve">, whatever it be, </w:t>
      </w:r>
      <w:r w:rsidR="006839E5" w:rsidRPr="00B05407">
        <w:rPr>
          <w:rFonts w:asciiTheme="minorHAnsi" w:hAnsiTheme="minorHAnsi" w:cs="Calibri"/>
        </w:rPr>
        <w:t>be as simple and user friendly as possible</w:t>
      </w:r>
      <w:r w:rsidRPr="00B05407">
        <w:rPr>
          <w:rFonts w:asciiTheme="minorHAnsi" w:hAnsiTheme="minorHAnsi" w:cs="Calibri"/>
        </w:rPr>
        <w:t xml:space="preserve">. It can be a series of Excel spreadsheets, as at F4E, or a specialist tool such as the one being tested at FAIR and </w:t>
      </w:r>
      <w:r w:rsidR="007E428D" w:rsidRPr="00B05407">
        <w:rPr>
          <w:rFonts w:asciiTheme="minorHAnsi" w:hAnsiTheme="minorHAnsi" w:cs="Calibri"/>
        </w:rPr>
        <w:t>ESS</w:t>
      </w:r>
      <w:r w:rsidRPr="00B05407">
        <w:rPr>
          <w:rFonts w:asciiTheme="minorHAnsi" w:hAnsiTheme="minorHAnsi" w:cs="Calibri"/>
        </w:rPr>
        <w:t xml:space="preserve">. </w:t>
      </w:r>
      <w:r w:rsidR="00AB2D25" w:rsidRPr="00B05407">
        <w:rPr>
          <w:rFonts w:asciiTheme="minorHAnsi" w:hAnsiTheme="minorHAnsi" w:cs="Calibri"/>
        </w:rPr>
        <w:t xml:space="preserve">We recommend it be made open source. </w:t>
      </w:r>
      <w:r w:rsidRPr="00B05407">
        <w:rPr>
          <w:rFonts w:asciiTheme="minorHAnsi" w:hAnsiTheme="minorHAnsi" w:cs="Calibri"/>
        </w:rPr>
        <w:t xml:space="preserve">Although a type of double bookkeeping, the experience of FAIR and F4E has shown that </w:t>
      </w:r>
      <w:r w:rsidR="00905636" w:rsidRPr="00B05407">
        <w:rPr>
          <w:rFonts w:asciiTheme="minorHAnsi" w:hAnsiTheme="minorHAnsi" w:cs="Calibri"/>
        </w:rPr>
        <w:t>such a tool is necessary to perform plausibility checks and reporting.</w:t>
      </w:r>
    </w:p>
    <w:p w:rsidR="00597ADE" w:rsidRPr="00B05407" w:rsidRDefault="00B01711" w:rsidP="001338FE">
      <w:pPr>
        <w:pStyle w:val="berschrift3"/>
        <w:contextualSpacing/>
        <w:rPr>
          <w:rFonts w:asciiTheme="minorHAnsi" w:hAnsiTheme="minorHAnsi" w:cs="Calibri"/>
          <w:sz w:val="32"/>
          <w:szCs w:val="22"/>
        </w:rPr>
      </w:pPr>
      <w:bookmarkStart w:id="29" w:name="_Toc532549093"/>
      <w:r w:rsidRPr="00B05407">
        <w:rPr>
          <w:rFonts w:asciiTheme="minorHAnsi" w:hAnsiTheme="minorHAnsi" w:cs="Calibri"/>
          <w:sz w:val="32"/>
          <w:szCs w:val="22"/>
        </w:rPr>
        <w:t xml:space="preserve">Section </w:t>
      </w:r>
      <w:r w:rsidR="0088257C" w:rsidRPr="00B05407">
        <w:rPr>
          <w:rFonts w:asciiTheme="minorHAnsi" w:hAnsiTheme="minorHAnsi" w:cs="Calibri"/>
          <w:sz w:val="32"/>
          <w:szCs w:val="22"/>
        </w:rPr>
        <w:t>5</w:t>
      </w:r>
      <w:r w:rsidRPr="00B05407">
        <w:rPr>
          <w:rFonts w:asciiTheme="minorHAnsi" w:hAnsiTheme="minorHAnsi" w:cs="Calibri"/>
          <w:sz w:val="32"/>
          <w:szCs w:val="22"/>
        </w:rPr>
        <w:t>: Lessons learned</w:t>
      </w:r>
      <w:bookmarkEnd w:id="29"/>
    </w:p>
    <w:p w:rsidR="00597ADE" w:rsidRPr="00B05407" w:rsidRDefault="00597ADE" w:rsidP="001338FE">
      <w:pPr>
        <w:contextualSpacing/>
        <w:rPr>
          <w:rFonts w:asciiTheme="minorHAnsi" w:hAnsiTheme="minorHAnsi" w:cs="Calibri"/>
        </w:rPr>
      </w:pPr>
    </w:p>
    <w:p w:rsidR="0088257C" w:rsidRPr="00B05407" w:rsidRDefault="0088257C" w:rsidP="001338FE">
      <w:pPr>
        <w:contextualSpacing/>
        <w:rPr>
          <w:rFonts w:asciiTheme="minorHAnsi" w:hAnsiTheme="minorHAnsi" w:cs="Calibri"/>
        </w:rPr>
      </w:pPr>
      <w:r w:rsidRPr="00B05407">
        <w:rPr>
          <w:rFonts w:asciiTheme="minorHAnsi" w:hAnsiTheme="minorHAnsi" w:cs="Calibri"/>
        </w:rPr>
        <w:t xml:space="preserve">In no particular order, here </w:t>
      </w:r>
      <w:r w:rsidR="005A4FFA" w:rsidRPr="00B05407">
        <w:rPr>
          <w:rFonts w:asciiTheme="minorHAnsi" w:hAnsiTheme="minorHAnsi" w:cs="Calibri"/>
        </w:rPr>
        <w:t xml:space="preserve">are some lessons the authors have learned either from experience or have collated from various informal discussions. We have agreed </w:t>
      </w:r>
      <w:r w:rsidR="003C5A81">
        <w:rPr>
          <w:rFonts w:asciiTheme="minorHAnsi" w:hAnsiTheme="minorHAnsi" w:cs="Calibri"/>
        </w:rPr>
        <w:t xml:space="preserve">to </w:t>
      </w:r>
      <w:r w:rsidR="005A4FFA" w:rsidRPr="00B05407">
        <w:rPr>
          <w:rFonts w:asciiTheme="minorHAnsi" w:hAnsiTheme="minorHAnsi" w:cs="Calibri"/>
        </w:rPr>
        <w:t>not disclose our sources.</w:t>
      </w:r>
    </w:p>
    <w:p w:rsidR="00363F6C" w:rsidRPr="00B05407" w:rsidRDefault="00363F6C" w:rsidP="001338FE">
      <w:pPr>
        <w:pStyle w:val="Listenabsatz"/>
        <w:numPr>
          <w:ilvl w:val="0"/>
          <w:numId w:val="15"/>
        </w:numPr>
        <w:rPr>
          <w:rFonts w:asciiTheme="minorHAnsi" w:hAnsiTheme="minorHAnsi" w:cs="Calibri"/>
        </w:rPr>
      </w:pPr>
      <w:r w:rsidRPr="00B05407">
        <w:rPr>
          <w:rFonts w:asciiTheme="minorHAnsi" w:hAnsiTheme="minorHAnsi" w:cs="Calibri"/>
        </w:rPr>
        <w:t xml:space="preserve">Legal form </w:t>
      </w:r>
    </w:p>
    <w:p w:rsidR="00363F6C" w:rsidRPr="00B05407" w:rsidRDefault="00CA791B" w:rsidP="001338FE">
      <w:pPr>
        <w:pStyle w:val="Listenabsatz"/>
        <w:rPr>
          <w:rFonts w:asciiTheme="minorHAnsi" w:hAnsiTheme="minorHAnsi" w:cs="Calibri"/>
        </w:rPr>
      </w:pPr>
      <w:r w:rsidRPr="00B05407">
        <w:rPr>
          <w:rFonts w:asciiTheme="minorHAnsi" w:hAnsiTheme="minorHAnsi" w:cs="Calibri"/>
        </w:rPr>
        <w:t xml:space="preserve">CERN and ESA are international bodies. They have written their own set of procurement rules and they don’t need to abide by the EU procurement directive. ESS is an ERIC. This also allows great freedom in </w:t>
      </w:r>
      <w:r w:rsidR="00363F6C" w:rsidRPr="00B05407">
        <w:rPr>
          <w:rFonts w:asciiTheme="minorHAnsi" w:hAnsiTheme="minorHAnsi" w:cs="Calibri"/>
        </w:rPr>
        <w:t>determining procurement rules. FAIR is a limited liability company (GmbH), and German law applies. In the experience of our correspondents, it is worth thinking very carefully about the legal form of a scientific facility because of the various degrees of autonomy those forms provide.</w:t>
      </w:r>
    </w:p>
    <w:p w:rsidR="006E271C" w:rsidRPr="00B05407" w:rsidRDefault="006E271C" w:rsidP="001338FE">
      <w:pPr>
        <w:pStyle w:val="Listenabsatz"/>
        <w:numPr>
          <w:ilvl w:val="0"/>
          <w:numId w:val="15"/>
        </w:numPr>
        <w:rPr>
          <w:rFonts w:asciiTheme="minorHAnsi" w:hAnsiTheme="minorHAnsi" w:cs="Calibri"/>
        </w:rPr>
      </w:pPr>
      <w:r w:rsidRPr="00B05407">
        <w:rPr>
          <w:rFonts w:asciiTheme="minorHAnsi" w:hAnsiTheme="minorHAnsi" w:cs="Calibri"/>
        </w:rPr>
        <w:t>Track cost book revisions</w:t>
      </w:r>
    </w:p>
    <w:p w:rsidR="00363F6C" w:rsidRPr="00B05407" w:rsidRDefault="00363F6C" w:rsidP="001338FE">
      <w:pPr>
        <w:pStyle w:val="Listenabsatz"/>
        <w:rPr>
          <w:rFonts w:asciiTheme="minorHAnsi" w:hAnsiTheme="minorHAnsi" w:cs="Calibri"/>
        </w:rPr>
      </w:pPr>
      <w:r w:rsidRPr="00B05407">
        <w:rPr>
          <w:rFonts w:asciiTheme="minorHAnsi" w:hAnsiTheme="minorHAnsi" w:cs="Calibri"/>
        </w:rPr>
        <w:t>As the cost book is revised, it is essential that all changes can be traced in both directions. Failing to do so makes it impossible to differentiate between cost-driven and scope-driven changes.</w:t>
      </w:r>
    </w:p>
    <w:p w:rsidR="007762DC" w:rsidRPr="00B05407" w:rsidRDefault="00363F6C" w:rsidP="001338FE">
      <w:pPr>
        <w:pStyle w:val="Listenabsatz"/>
        <w:numPr>
          <w:ilvl w:val="0"/>
          <w:numId w:val="15"/>
        </w:numPr>
        <w:rPr>
          <w:rFonts w:asciiTheme="minorHAnsi" w:hAnsiTheme="minorHAnsi" w:cs="Calibri"/>
        </w:rPr>
      </w:pPr>
      <w:r w:rsidRPr="00B05407">
        <w:rPr>
          <w:rFonts w:asciiTheme="minorHAnsi" w:hAnsiTheme="minorHAnsi" w:cs="Calibri"/>
        </w:rPr>
        <w:t>I</w:t>
      </w:r>
      <w:r w:rsidR="007762DC" w:rsidRPr="00B05407">
        <w:rPr>
          <w:rFonts w:asciiTheme="minorHAnsi" w:hAnsiTheme="minorHAnsi" w:cs="Calibri"/>
        </w:rPr>
        <w:t>nclude warranty as a (payment) milestone</w:t>
      </w:r>
    </w:p>
    <w:p w:rsidR="00363F6C" w:rsidRPr="00B05407" w:rsidRDefault="00363F6C" w:rsidP="001338FE">
      <w:pPr>
        <w:pStyle w:val="Listenabsatz"/>
        <w:rPr>
          <w:rFonts w:asciiTheme="minorHAnsi" w:hAnsiTheme="minorHAnsi" w:cs="Calibri"/>
        </w:rPr>
      </w:pPr>
      <w:r w:rsidRPr="00B05407">
        <w:rPr>
          <w:rFonts w:asciiTheme="minorHAnsi" w:hAnsiTheme="minorHAnsi" w:cs="Calibri"/>
        </w:rPr>
        <w:t>Certain funding agencies will only earmark money for the warranty period if it is cou</w:t>
      </w:r>
      <w:r w:rsidR="00F65947" w:rsidRPr="00B05407">
        <w:rPr>
          <w:rFonts w:asciiTheme="minorHAnsi" w:hAnsiTheme="minorHAnsi" w:cs="Calibri"/>
        </w:rPr>
        <w:t>pled to a (payment) milestone. W</w:t>
      </w:r>
      <w:r w:rsidRPr="00B05407">
        <w:rPr>
          <w:rFonts w:asciiTheme="minorHAnsi" w:hAnsiTheme="minorHAnsi" w:cs="Calibri"/>
        </w:rPr>
        <w:t>ithout earmarking, providers are not reimbursed for warranty actions by their funding agency, legal battles ensue.</w:t>
      </w:r>
    </w:p>
    <w:p w:rsidR="00114CC0" w:rsidRPr="00B05407" w:rsidRDefault="00114CC0" w:rsidP="001338FE">
      <w:pPr>
        <w:pStyle w:val="Listenabsatz"/>
        <w:numPr>
          <w:ilvl w:val="0"/>
          <w:numId w:val="15"/>
        </w:numPr>
        <w:rPr>
          <w:rFonts w:asciiTheme="minorHAnsi" w:hAnsiTheme="minorHAnsi" w:cs="Calibri"/>
        </w:rPr>
      </w:pPr>
      <w:r w:rsidRPr="00B05407">
        <w:rPr>
          <w:rFonts w:asciiTheme="minorHAnsi" w:hAnsiTheme="minorHAnsi" w:cs="Calibri"/>
        </w:rPr>
        <w:t>Cable databank</w:t>
      </w:r>
    </w:p>
    <w:p w:rsidR="00363F6C" w:rsidRPr="00B05407" w:rsidRDefault="00363F6C" w:rsidP="001338FE">
      <w:pPr>
        <w:pStyle w:val="Listenabsatz"/>
        <w:rPr>
          <w:rFonts w:asciiTheme="minorHAnsi" w:hAnsiTheme="minorHAnsi" w:cs="Calibri"/>
        </w:rPr>
      </w:pPr>
      <w:r w:rsidRPr="00B05407">
        <w:rPr>
          <w:rFonts w:asciiTheme="minorHAnsi" w:hAnsiTheme="minorHAnsi" w:cs="Calibri"/>
        </w:rPr>
        <w:t>We recommend that it is clear which cables are the responsibilities on in-kind providers and which belong to the host lab. This is true of all interface items, but the high price of copper makes cabling a particularly thorny topic.</w:t>
      </w:r>
      <w:r w:rsidR="00420B54" w:rsidRPr="00B05407">
        <w:rPr>
          <w:rFonts w:asciiTheme="minorHAnsi" w:hAnsiTheme="minorHAnsi" w:cs="Calibri"/>
        </w:rPr>
        <w:t xml:space="preserve"> In terms of cable standardization, the earlier the cable data bank is drafted, the better.</w:t>
      </w:r>
    </w:p>
    <w:p w:rsidR="00A5009E" w:rsidRPr="00B05407" w:rsidRDefault="005A4FFA" w:rsidP="001338FE">
      <w:pPr>
        <w:pStyle w:val="Listenabsatz"/>
        <w:numPr>
          <w:ilvl w:val="0"/>
          <w:numId w:val="15"/>
        </w:numPr>
        <w:rPr>
          <w:rFonts w:asciiTheme="minorHAnsi" w:hAnsiTheme="minorHAnsi" w:cs="Calibri"/>
        </w:rPr>
      </w:pPr>
      <w:r w:rsidRPr="00B05407">
        <w:rPr>
          <w:rFonts w:asciiTheme="minorHAnsi" w:hAnsiTheme="minorHAnsi" w:cs="Calibri"/>
        </w:rPr>
        <w:t>Intellectual property</w:t>
      </w:r>
    </w:p>
    <w:p w:rsidR="005A4FFA" w:rsidRPr="00B05407" w:rsidRDefault="005A4FFA" w:rsidP="001338FE">
      <w:pPr>
        <w:pStyle w:val="Listenabsatz"/>
        <w:rPr>
          <w:rFonts w:asciiTheme="minorHAnsi" w:hAnsiTheme="minorHAnsi" w:cs="Calibri"/>
        </w:rPr>
      </w:pPr>
      <w:r w:rsidRPr="00B05407">
        <w:rPr>
          <w:rFonts w:asciiTheme="minorHAnsi" w:hAnsiTheme="minorHAnsi" w:cs="Calibri"/>
        </w:rPr>
        <w:t>Another potential for strife is the sharing of background and foreground. Background is the intellectual property that an institution or company already has. Foreground is knowledge that is developed during the realization of a project (in this case, during the realization of the IKC). We recommend the sharing of background based on need-to-know only. We recommend that GANIL secure inexclusive rights to the foreground of providers.</w:t>
      </w:r>
    </w:p>
    <w:p w:rsidR="007762DC" w:rsidRPr="00B05407" w:rsidRDefault="007762DC" w:rsidP="001338FE">
      <w:pPr>
        <w:contextualSpacing/>
        <w:rPr>
          <w:rFonts w:asciiTheme="minorHAnsi" w:hAnsiTheme="minorHAnsi" w:cs="Calibri"/>
        </w:rPr>
      </w:pPr>
    </w:p>
    <w:p w:rsidR="007762DC" w:rsidRPr="00B05407" w:rsidRDefault="007762DC" w:rsidP="001338FE">
      <w:pPr>
        <w:contextualSpacing/>
        <w:rPr>
          <w:rFonts w:asciiTheme="minorHAnsi" w:hAnsiTheme="minorHAnsi" w:cs="Calibri"/>
        </w:rPr>
      </w:pPr>
    </w:p>
    <w:p w:rsidR="00242EB8" w:rsidRPr="00B05407" w:rsidRDefault="00242EB8" w:rsidP="001338FE">
      <w:pPr>
        <w:pStyle w:val="Listenabsatz"/>
        <w:ind w:left="1080"/>
        <w:jc w:val="both"/>
        <w:rPr>
          <w:rFonts w:asciiTheme="minorHAnsi" w:hAnsiTheme="minorHAnsi" w:cs="Calibri"/>
        </w:rPr>
      </w:pPr>
    </w:p>
    <w:p w:rsidR="001C520E" w:rsidRPr="00B05407" w:rsidRDefault="001C520E" w:rsidP="001338FE">
      <w:pPr>
        <w:pStyle w:val="berschrift3"/>
        <w:contextualSpacing/>
        <w:rPr>
          <w:rFonts w:asciiTheme="minorHAnsi" w:hAnsiTheme="minorHAnsi" w:cs="Calibri"/>
          <w:sz w:val="32"/>
          <w:szCs w:val="22"/>
        </w:rPr>
      </w:pPr>
      <w:bookmarkStart w:id="30" w:name="_Toc532549094"/>
      <w:r w:rsidRPr="00B05407">
        <w:rPr>
          <w:rFonts w:asciiTheme="minorHAnsi" w:hAnsiTheme="minorHAnsi" w:cs="Calibri"/>
          <w:sz w:val="32"/>
          <w:szCs w:val="22"/>
        </w:rPr>
        <w:t>Conclusion</w:t>
      </w:r>
      <w:bookmarkEnd w:id="30"/>
    </w:p>
    <w:p w:rsidR="00667C67" w:rsidRPr="00B05407" w:rsidRDefault="00667C67" w:rsidP="001338FE">
      <w:pPr>
        <w:contextualSpacing/>
        <w:rPr>
          <w:rFonts w:asciiTheme="minorHAnsi" w:hAnsiTheme="minorHAnsi" w:cs="Calibri"/>
        </w:rPr>
      </w:pPr>
    </w:p>
    <w:p w:rsidR="001338FE" w:rsidRPr="00B05407" w:rsidRDefault="001338FE" w:rsidP="001338FE">
      <w:pPr>
        <w:contextualSpacing/>
        <w:rPr>
          <w:rFonts w:asciiTheme="minorHAnsi" w:hAnsiTheme="minorHAnsi" w:cs="Calibri"/>
          <w:lang w:val="en-CA"/>
        </w:rPr>
      </w:pPr>
      <w:r w:rsidRPr="00B05407">
        <w:rPr>
          <w:rFonts w:asciiTheme="minorHAnsi" w:hAnsiTheme="minorHAnsi" w:cs="Calibri"/>
          <w:lang w:val="en-CA"/>
        </w:rPr>
        <w:lastRenderedPageBreak/>
        <w:t>We propose a bespoke in-kind model for GANIL-SPIRAL2 based on the existing structure and governance of the facility and the sliding scientific scope of the project.</w:t>
      </w:r>
    </w:p>
    <w:p w:rsidR="001338FE" w:rsidRPr="00B05407" w:rsidRDefault="001338FE" w:rsidP="001338FE">
      <w:pPr>
        <w:contextualSpacing/>
        <w:rPr>
          <w:rFonts w:asciiTheme="minorHAnsi" w:hAnsiTheme="minorHAnsi" w:cs="Calibri"/>
          <w:lang w:val="en-CA"/>
        </w:rPr>
      </w:pPr>
    </w:p>
    <w:p w:rsidR="001338FE" w:rsidRPr="00B05407" w:rsidRDefault="001338FE" w:rsidP="001338FE">
      <w:pPr>
        <w:contextualSpacing/>
        <w:rPr>
          <w:rFonts w:asciiTheme="minorHAnsi" w:hAnsiTheme="minorHAnsi" w:cs="Calibri"/>
          <w:lang w:val="en-CA"/>
        </w:rPr>
      </w:pPr>
      <w:r w:rsidRPr="00B05407">
        <w:rPr>
          <w:rFonts w:asciiTheme="minorHAnsi" w:hAnsiTheme="minorHAnsi" w:cs="Calibri"/>
          <w:lang w:val="en-CA"/>
        </w:rPr>
        <w:t>We make a trade-off between the competing needs of GANIL-SPIRAL2 to be a fixed-term project that comes in on budget whilst allowing the creative input of stakeholders. We discuss two process concepts, the “wedding list” (which we dub the cost book) and the “Creative Consultation”. We suggest structures and processes to align the two and to keep track of the sliding scope (section 3).</w:t>
      </w:r>
    </w:p>
    <w:p w:rsidR="001338FE" w:rsidRPr="00B05407" w:rsidRDefault="001338FE" w:rsidP="001338FE">
      <w:pPr>
        <w:contextualSpacing/>
        <w:rPr>
          <w:rFonts w:asciiTheme="minorHAnsi" w:hAnsiTheme="minorHAnsi" w:cs="Calibri"/>
          <w:lang w:val="en-CA"/>
        </w:rPr>
      </w:pPr>
    </w:p>
    <w:p w:rsidR="001338FE" w:rsidRPr="00B05407" w:rsidRDefault="001338FE" w:rsidP="001338FE">
      <w:pPr>
        <w:contextualSpacing/>
        <w:rPr>
          <w:rFonts w:asciiTheme="minorHAnsi" w:hAnsiTheme="minorHAnsi" w:cs="Calibri"/>
          <w:lang w:val="en-CA"/>
        </w:rPr>
      </w:pPr>
      <w:r w:rsidRPr="00B05407">
        <w:rPr>
          <w:rFonts w:asciiTheme="minorHAnsi" w:hAnsiTheme="minorHAnsi" w:cs="Calibri"/>
          <w:lang w:val="en-CA"/>
        </w:rPr>
        <w:t>We present a sketch of the current organisational structure of GANIL-SPIARL2 and propose two further committees who will have a consultative or even decision-making role in the assignment of in-kind contributions (IKC) at GANIL-SPIRAL2. These committees are (1) the in-kind review board (IKRB), which makes scientific and technical decisions about which items belong to the scope of SPIRAL2; and (2) the cost book working group (CBWG), which makes decisions about resources, valorisation and scheduling and updates the cost book. Both committees should report to the GANIL governing bodies (section 3).</w:t>
      </w:r>
    </w:p>
    <w:p w:rsidR="001338FE" w:rsidRPr="00B05407" w:rsidRDefault="001338FE" w:rsidP="001338FE">
      <w:pPr>
        <w:contextualSpacing/>
        <w:rPr>
          <w:rFonts w:asciiTheme="minorHAnsi" w:hAnsiTheme="minorHAnsi" w:cs="Calibri"/>
          <w:lang w:val="en-CA"/>
        </w:rPr>
      </w:pPr>
    </w:p>
    <w:p w:rsidR="001338FE" w:rsidRPr="00B05407" w:rsidRDefault="001338FE" w:rsidP="001338FE">
      <w:pPr>
        <w:contextualSpacing/>
        <w:rPr>
          <w:rFonts w:asciiTheme="minorHAnsi" w:hAnsiTheme="minorHAnsi" w:cs="Calibri"/>
          <w:lang w:val="en-CA"/>
        </w:rPr>
      </w:pPr>
      <w:r w:rsidRPr="00B05407">
        <w:rPr>
          <w:rFonts w:asciiTheme="minorHAnsi" w:hAnsiTheme="minorHAnsi" w:cs="Calibri"/>
          <w:lang w:val="en-CA"/>
        </w:rPr>
        <w:t>With these structures in place, we explore the advantages and pitfalls of in-kind contributions (IKCs) and present an abstracted life cycle of IKCs (section 2). We explore existing tools for the monitoring of IKCs and suggest that the results of a current pilot study be considered in developing such a tool for GANIL-SPIRAL2 (section 4).</w:t>
      </w:r>
    </w:p>
    <w:p w:rsidR="001338FE" w:rsidRPr="00B05407" w:rsidRDefault="001338FE" w:rsidP="001338FE">
      <w:pPr>
        <w:contextualSpacing/>
        <w:rPr>
          <w:rFonts w:asciiTheme="minorHAnsi" w:hAnsiTheme="minorHAnsi" w:cs="Calibri"/>
          <w:lang w:val="en-CA"/>
        </w:rPr>
      </w:pPr>
    </w:p>
    <w:p w:rsidR="001338FE" w:rsidRPr="00B05407" w:rsidRDefault="001338FE" w:rsidP="001338FE">
      <w:pPr>
        <w:contextualSpacing/>
        <w:rPr>
          <w:rFonts w:asciiTheme="minorHAnsi" w:hAnsiTheme="minorHAnsi" w:cs="Calibri"/>
          <w:lang w:val="en-CA"/>
        </w:rPr>
      </w:pPr>
      <w:r w:rsidRPr="00B05407">
        <w:rPr>
          <w:rFonts w:asciiTheme="minorHAnsi" w:hAnsiTheme="minorHAnsi" w:cs="Calibri"/>
          <w:lang w:val="en-CA"/>
        </w:rPr>
        <w:t>We compile a list of lessons learned at other big science facilities (CERN, European XFEL, ESS, ESA, FAIR) and make suggestions to avoid common pitfalls (section 5)</w:t>
      </w:r>
    </w:p>
    <w:p w:rsidR="001338FE" w:rsidRPr="00B05407" w:rsidRDefault="001338FE" w:rsidP="001338FE">
      <w:pPr>
        <w:contextualSpacing/>
        <w:rPr>
          <w:rFonts w:asciiTheme="minorHAnsi" w:hAnsiTheme="minorHAnsi" w:cs="Calibri"/>
          <w:lang w:val="en-CA"/>
        </w:rPr>
      </w:pPr>
    </w:p>
    <w:p w:rsidR="001338FE" w:rsidRPr="00B05407" w:rsidRDefault="001338FE" w:rsidP="001338FE">
      <w:pPr>
        <w:contextualSpacing/>
        <w:rPr>
          <w:rFonts w:asciiTheme="minorHAnsi" w:hAnsiTheme="minorHAnsi" w:cs="Calibri"/>
          <w:lang w:val="en-CA"/>
        </w:rPr>
      </w:pPr>
      <w:r w:rsidRPr="00B05407">
        <w:rPr>
          <w:rFonts w:asciiTheme="minorHAnsi" w:hAnsiTheme="minorHAnsi" w:cs="Calibri"/>
          <w:lang w:val="en-CA"/>
        </w:rPr>
        <w:t>This report is a set of suggetions to the GANIL directorate. We suggest a period of consultation and implementation at GANIL in early 2019, in which the authors will discuss with stakeholders, refine the model and pave the way for establishing the final model at GANIL.</w:t>
      </w:r>
    </w:p>
    <w:p w:rsidR="00326DA9" w:rsidRPr="00B05407" w:rsidRDefault="00326DA9" w:rsidP="001338FE">
      <w:pPr>
        <w:contextualSpacing/>
        <w:rPr>
          <w:rFonts w:asciiTheme="minorHAnsi" w:hAnsiTheme="minorHAnsi" w:cs="Calibri"/>
          <w:lang w:val="en-GB"/>
        </w:rPr>
      </w:pPr>
      <w:r w:rsidRPr="00B05407">
        <w:rPr>
          <w:rFonts w:asciiTheme="minorHAnsi" w:hAnsiTheme="minorHAnsi" w:cs="Calibri"/>
          <w:lang w:val="en-GB"/>
        </w:rPr>
        <w:br w:type="page"/>
      </w:r>
    </w:p>
    <w:p w:rsidR="00785048" w:rsidRPr="00B05407" w:rsidRDefault="00326DA9" w:rsidP="001338FE">
      <w:pPr>
        <w:pStyle w:val="berschrift3"/>
        <w:contextualSpacing/>
        <w:rPr>
          <w:rFonts w:asciiTheme="minorHAnsi" w:hAnsiTheme="minorHAnsi" w:cs="Calibri"/>
          <w:sz w:val="22"/>
          <w:szCs w:val="22"/>
          <w:lang w:val="en-GB"/>
        </w:rPr>
      </w:pPr>
      <w:bookmarkStart w:id="31" w:name="_Toc532549095"/>
      <w:r w:rsidRPr="00B05407">
        <w:rPr>
          <w:rFonts w:asciiTheme="minorHAnsi" w:hAnsiTheme="minorHAnsi" w:cs="Calibri"/>
          <w:sz w:val="22"/>
          <w:szCs w:val="22"/>
          <w:lang w:val="en-GB"/>
        </w:rPr>
        <w:lastRenderedPageBreak/>
        <w:t>Annex</w:t>
      </w:r>
      <w:bookmarkEnd w:id="31"/>
    </w:p>
    <w:p w:rsidR="00245539" w:rsidRPr="00B05407" w:rsidRDefault="00245539" w:rsidP="001338FE">
      <w:pPr>
        <w:contextualSpacing/>
        <w:rPr>
          <w:rFonts w:asciiTheme="minorHAnsi" w:hAnsiTheme="minorHAnsi" w:cs="Calibri"/>
          <w:lang w:val="en-GB"/>
        </w:rPr>
      </w:pPr>
    </w:p>
    <w:p w:rsidR="00245539" w:rsidRPr="00B05407" w:rsidRDefault="00420B54" w:rsidP="001338FE">
      <w:pPr>
        <w:contextualSpacing/>
        <w:rPr>
          <w:rFonts w:asciiTheme="minorHAnsi" w:hAnsiTheme="minorHAnsi" w:cs="Calibri"/>
          <w:lang w:val="en-GB"/>
        </w:rPr>
      </w:pPr>
      <w:r w:rsidRPr="00B05407">
        <w:rPr>
          <w:rFonts w:asciiTheme="minorHAnsi" w:hAnsiTheme="minorHAnsi" w:cs="Calibri"/>
          <w:lang w:val="en-GB"/>
        </w:rPr>
        <w:t>Example of a bilateral agreement used at FAIR that could be adapted for GANIL-SPIRAL2 (Annex 1). The scientific contribution would be specified in an implementing agreement</w:t>
      </w:r>
      <w:r w:rsidR="008A213D" w:rsidRPr="00B05407">
        <w:rPr>
          <w:rFonts w:asciiTheme="minorHAnsi" w:hAnsiTheme="minorHAnsi" w:cs="Calibri"/>
          <w:lang w:val="en-GB"/>
        </w:rPr>
        <w:t>.</w:t>
      </w:r>
    </w:p>
    <w:p w:rsidR="00420B54" w:rsidRPr="00B05407" w:rsidRDefault="00420B54" w:rsidP="001338FE">
      <w:pPr>
        <w:contextualSpacing/>
        <w:rPr>
          <w:rFonts w:asciiTheme="minorHAnsi" w:hAnsiTheme="minorHAnsi" w:cs="Calibri"/>
          <w:lang w:val="en-GB"/>
        </w:rPr>
      </w:pPr>
    </w:p>
    <w:p w:rsidR="00420B54" w:rsidRPr="00B05407" w:rsidRDefault="00420B54" w:rsidP="001338FE">
      <w:pPr>
        <w:contextualSpacing/>
        <w:rPr>
          <w:rFonts w:asciiTheme="minorHAnsi" w:hAnsiTheme="minorHAnsi" w:cs="Calibri"/>
          <w:lang w:val="en-GB"/>
        </w:rPr>
      </w:pPr>
    </w:p>
    <w:p w:rsidR="0062164E" w:rsidRPr="00B05407" w:rsidRDefault="0062164E" w:rsidP="0062164E">
      <w:pPr>
        <w:spacing w:line="360" w:lineRule="auto"/>
        <w:jc w:val="center"/>
        <w:rPr>
          <w:rFonts w:asciiTheme="minorHAnsi" w:hAnsiTheme="minorHAnsi" w:cs="Times New Roman"/>
          <w:sz w:val="28"/>
          <w:szCs w:val="28"/>
        </w:rPr>
      </w:pPr>
      <w:r w:rsidRPr="00B05407">
        <w:rPr>
          <w:rFonts w:asciiTheme="minorHAnsi" w:hAnsiTheme="minorHAnsi" w:cs="Times New Roman"/>
          <w:sz w:val="28"/>
          <w:szCs w:val="28"/>
        </w:rPr>
        <w:t>CO-OPERATION AGREEMENT</w:t>
      </w:r>
    </w:p>
    <w:p w:rsidR="0062164E" w:rsidRPr="00B05407" w:rsidRDefault="0062164E" w:rsidP="0062164E">
      <w:pPr>
        <w:spacing w:line="360" w:lineRule="auto"/>
        <w:jc w:val="center"/>
        <w:rPr>
          <w:rFonts w:asciiTheme="minorHAnsi" w:hAnsiTheme="minorHAnsi" w:cs="Times New Roman"/>
          <w:sz w:val="28"/>
          <w:szCs w:val="28"/>
        </w:rPr>
      </w:pPr>
    </w:p>
    <w:p w:rsidR="0062164E" w:rsidRPr="00B05407" w:rsidRDefault="0062164E" w:rsidP="0062164E">
      <w:pPr>
        <w:spacing w:line="360" w:lineRule="auto"/>
        <w:jc w:val="center"/>
        <w:rPr>
          <w:rFonts w:asciiTheme="minorHAnsi" w:hAnsiTheme="minorHAnsi" w:cs="Times New Roman"/>
          <w:sz w:val="28"/>
          <w:szCs w:val="28"/>
        </w:rPr>
      </w:pPr>
      <w:r w:rsidRPr="00B05407">
        <w:rPr>
          <w:rFonts w:asciiTheme="minorHAnsi" w:hAnsiTheme="minorHAnsi" w:cs="Times New Roman"/>
          <w:sz w:val="28"/>
          <w:szCs w:val="28"/>
        </w:rPr>
        <w:t>BETWEEN</w:t>
      </w:r>
    </w:p>
    <w:p w:rsidR="0062164E" w:rsidRPr="00B05407" w:rsidRDefault="0062164E" w:rsidP="0062164E">
      <w:pPr>
        <w:spacing w:line="360" w:lineRule="auto"/>
        <w:jc w:val="center"/>
        <w:rPr>
          <w:rFonts w:asciiTheme="minorHAnsi" w:hAnsiTheme="minorHAnsi" w:cs="Times New Roman"/>
          <w:sz w:val="28"/>
          <w:szCs w:val="28"/>
        </w:rPr>
      </w:pPr>
      <w:r w:rsidRPr="00B05407">
        <w:rPr>
          <w:rFonts w:asciiTheme="minorHAnsi" w:hAnsiTheme="minorHAnsi" w:cs="Times New Roman"/>
          <w:color w:val="FF0000"/>
          <w:sz w:val="28"/>
          <w:szCs w:val="28"/>
        </w:rPr>
        <w:t>XXX</w:t>
      </w:r>
      <w:r w:rsidRPr="00B05407">
        <w:rPr>
          <w:rFonts w:asciiTheme="minorHAnsi" w:hAnsiTheme="minorHAnsi" w:cs="Times New Roman"/>
          <w:color w:val="FF0000"/>
          <w:sz w:val="28"/>
          <w:szCs w:val="28"/>
        </w:rPr>
        <w:br/>
      </w:r>
      <w:r w:rsidRPr="00B05407">
        <w:rPr>
          <w:rFonts w:asciiTheme="minorHAnsi" w:hAnsiTheme="minorHAnsi" w:cs="Times New Roman"/>
          <w:sz w:val="28"/>
          <w:szCs w:val="28"/>
        </w:rPr>
        <w:t>”PARTNER”</w:t>
      </w:r>
    </w:p>
    <w:p w:rsidR="0062164E" w:rsidRPr="00B05407" w:rsidRDefault="0062164E" w:rsidP="0062164E">
      <w:pPr>
        <w:spacing w:line="360" w:lineRule="auto"/>
        <w:jc w:val="center"/>
        <w:rPr>
          <w:rFonts w:asciiTheme="minorHAnsi" w:hAnsiTheme="minorHAnsi" w:cs="Times New Roman"/>
          <w:sz w:val="28"/>
          <w:szCs w:val="28"/>
        </w:rPr>
      </w:pPr>
      <w:r w:rsidRPr="00B05407">
        <w:rPr>
          <w:rFonts w:asciiTheme="minorHAnsi" w:hAnsiTheme="minorHAnsi" w:cs="Times New Roman"/>
          <w:sz w:val="28"/>
          <w:szCs w:val="28"/>
        </w:rPr>
        <w:t>AND</w:t>
      </w:r>
    </w:p>
    <w:p w:rsidR="0062164E" w:rsidRPr="00B05407" w:rsidRDefault="0062164E" w:rsidP="0062164E">
      <w:pPr>
        <w:spacing w:line="360" w:lineRule="auto"/>
        <w:jc w:val="center"/>
        <w:rPr>
          <w:rFonts w:asciiTheme="minorHAnsi" w:hAnsiTheme="minorHAnsi" w:cs="Times New Roman"/>
          <w:color w:val="FF0000"/>
          <w:sz w:val="28"/>
          <w:szCs w:val="28"/>
        </w:rPr>
      </w:pPr>
      <w:r w:rsidRPr="00B05407">
        <w:rPr>
          <w:rFonts w:asciiTheme="minorHAnsi" w:hAnsiTheme="minorHAnsi" w:cs="Times New Roman"/>
          <w:color w:val="FF0000"/>
          <w:sz w:val="28"/>
          <w:szCs w:val="28"/>
        </w:rPr>
        <w:t>XXX</w:t>
      </w:r>
    </w:p>
    <w:p w:rsidR="0062164E" w:rsidRPr="00B05407" w:rsidRDefault="0062164E" w:rsidP="0062164E">
      <w:pPr>
        <w:spacing w:line="360" w:lineRule="auto"/>
        <w:jc w:val="center"/>
        <w:rPr>
          <w:rFonts w:asciiTheme="minorHAnsi" w:hAnsiTheme="minorHAnsi" w:cs="Times New Roman"/>
          <w:caps/>
          <w:sz w:val="28"/>
          <w:szCs w:val="28"/>
        </w:rPr>
      </w:pPr>
      <w:r w:rsidRPr="00B05407">
        <w:rPr>
          <w:rFonts w:asciiTheme="minorHAnsi" w:hAnsiTheme="minorHAnsi" w:cs="Times New Roman"/>
          <w:caps/>
          <w:sz w:val="28"/>
          <w:szCs w:val="28"/>
        </w:rPr>
        <w:t xml:space="preserve"> “COMPANY”</w:t>
      </w:r>
    </w:p>
    <w:p w:rsidR="0062164E" w:rsidRPr="00B05407" w:rsidRDefault="0062164E" w:rsidP="0062164E">
      <w:pPr>
        <w:spacing w:line="360" w:lineRule="auto"/>
        <w:jc w:val="center"/>
        <w:rPr>
          <w:rFonts w:asciiTheme="minorHAnsi" w:hAnsiTheme="minorHAnsi" w:cs="Times New Roman"/>
          <w:sz w:val="28"/>
          <w:szCs w:val="28"/>
        </w:rPr>
      </w:pPr>
    </w:p>
    <w:p w:rsidR="0062164E" w:rsidRPr="00B05407" w:rsidRDefault="0062164E" w:rsidP="0062164E">
      <w:pPr>
        <w:spacing w:after="0" w:line="360" w:lineRule="auto"/>
        <w:jc w:val="both"/>
        <w:rPr>
          <w:rFonts w:asciiTheme="minorHAnsi" w:hAnsiTheme="minorHAnsi" w:cs="Times New Roman"/>
          <w:sz w:val="24"/>
          <w:szCs w:val="24"/>
        </w:rPr>
      </w:pPr>
    </w:p>
    <w:p w:rsidR="0062164E" w:rsidRPr="00B05407" w:rsidRDefault="0062164E" w:rsidP="0062164E">
      <w:pPr>
        <w:spacing w:after="0" w:line="360" w:lineRule="auto"/>
        <w:jc w:val="both"/>
        <w:rPr>
          <w:rFonts w:asciiTheme="minorHAnsi" w:hAnsiTheme="minorHAnsi" w:cs="Times New Roman"/>
          <w:sz w:val="24"/>
          <w:szCs w:val="24"/>
        </w:rPr>
      </w:pPr>
      <w:r w:rsidRPr="00B05407">
        <w:rPr>
          <w:rFonts w:asciiTheme="minorHAnsi" w:hAnsiTheme="minorHAnsi" w:cs="Times New Roman"/>
          <w:sz w:val="24"/>
          <w:szCs w:val="24"/>
        </w:rPr>
        <w:t>hereinafter collectively referred to as “the Parties”,</w:t>
      </w:r>
    </w:p>
    <w:p w:rsidR="0062164E" w:rsidRPr="00B05407" w:rsidRDefault="0062164E" w:rsidP="0062164E">
      <w:pPr>
        <w:spacing w:after="0" w:line="360" w:lineRule="auto"/>
        <w:jc w:val="both"/>
        <w:rPr>
          <w:rFonts w:asciiTheme="minorHAnsi" w:hAnsiTheme="minorHAnsi" w:cs="Times New Roman"/>
          <w:sz w:val="24"/>
          <w:szCs w:val="24"/>
        </w:rPr>
      </w:pPr>
    </w:p>
    <w:p w:rsidR="0062164E" w:rsidRPr="00B05407" w:rsidRDefault="0062164E" w:rsidP="0062164E">
      <w:pPr>
        <w:spacing w:after="0" w:line="360" w:lineRule="auto"/>
        <w:jc w:val="both"/>
        <w:rPr>
          <w:rFonts w:asciiTheme="minorHAnsi" w:hAnsiTheme="minorHAnsi" w:cs="Times New Roman"/>
          <w:sz w:val="24"/>
          <w:szCs w:val="24"/>
        </w:rPr>
      </w:pPr>
      <w:r w:rsidRPr="00B05407">
        <w:rPr>
          <w:rFonts w:asciiTheme="minorHAnsi" w:hAnsiTheme="minorHAnsi" w:cs="Times New Roman"/>
          <w:sz w:val="24"/>
          <w:szCs w:val="24"/>
        </w:rPr>
        <w:t>CONSIDERING that COMPANY is engaged in fundamental research in particle physics and in fields that are essentially related thereto, including but not limited to fields like radiation biology, material science or computing technologies.</w:t>
      </w:r>
    </w:p>
    <w:p w:rsidR="0062164E" w:rsidRPr="00B05407" w:rsidRDefault="0062164E" w:rsidP="0062164E">
      <w:pPr>
        <w:spacing w:after="0" w:line="360" w:lineRule="auto"/>
        <w:jc w:val="both"/>
        <w:rPr>
          <w:rFonts w:asciiTheme="minorHAnsi" w:hAnsiTheme="minorHAnsi" w:cs="Times New Roman"/>
          <w:sz w:val="24"/>
          <w:szCs w:val="24"/>
        </w:rPr>
      </w:pPr>
    </w:p>
    <w:p w:rsidR="0062164E" w:rsidRPr="00B05407" w:rsidRDefault="0062164E" w:rsidP="0062164E">
      <w:pPr>
        <w:spacing w:after="0" w:line="360" w:lineRule="auto"/>
        <w:rPr>
          <w:rFonts w:asciiTheme="minorHAnsi" w:hAnsiTheme="minorHAnsi" w:cs="Times New Roman"/>
          <w:sz w:val="24"/>
          <w:szCs w:val="24"/>
        </w:rPr>
      </w:pPr>
      <w:r w:rsidRPr="00B05407">
        <w:rPr>
          <w:rFonts w:asciiTheme="minorHAnsi" w:hAnsiTheme="minorHAnsi" w:cs="Times New Roman"/>
          <w:sz w:val="24"/>
          <w:szCs w:val="24"/>
        </w:rPr>
        <w:t xml:space="preserve">CONSIDERING that COMPANY is a </w:t>
      </w:r>
      <w:r w:rsidRPr="00B05407">
        <w:rPr>
          <w:rFonts w:asciiTheme="minorHAnsi" w:hAnsiTheme="minorHAnsi" w:cs="Times New Roman"/>
          <w:color w:val="FF0000"/>
          <w:sz w:val="24"/>
          <w:szCs w:val="24"/>
        </w:rPr>
        <w:t>XXX</w:t>
      </w:r>
      <w:r w:rsidRPr="00B05407">
        <w:rPr>
          <w:rFonts w:asciiTheme="minorHAnsi" w:hAnsiTheme="minorHAnsi" w:cs="Times New Roman"/>
          <w:sz w:val="24"/>
          <w:szCs w:val="24"/>
        </w:rPr>
        <w:br/>
      </w:r>
    </w:p>
    <w:p w:rsidR="0062164E" w:rsidRPr="00B05407" w:rsidRDefault="0062164E" w:rsidP="0062164E">
      <w:pPr>
        <w:spacing w:after="0" w:line="360" w:lineRule="auto"/>
        <w:jc w:val="both"/>
        <w:rPr>
          <w:rFonts w:asciiTheme="minorHAnsi" w:hAnsiTheme="minorHAnsi" w:cs="Times New Roman"/>
          <w:sz w:val="24"/>
          <w:szCs w:val="24"/>
        </w:rPr>
      </w:pPr>
      <w:r w:rsidRPr="00B05407">
        <w:rPr>
          <w:rFonts w:asciiTheme="minorHAnsi" w:hAnsiTheme="minorHAnsi" w:cs="Times New Roman"/>
          <w:sz w:val="24"/>
          <w:szCs w:val="24"/>
        </w:rPr>
        <w:t xml:space="preserve">CONSIDERING that </w:t>
      </w:r>
      <w:r w:rsidRPr="00B05407">
        <w:rPr>
          <w:rFonts w:asciiTheme="minorHAnsi" w:hAnsiTheme="minorHAnsi" w:cs="Times New Roman"/>
          <w:color w:val="FF0000"/>
          <w:sz w:val="24"/>
          <w:szCs w:val="24"/>
        </w:rPr>
        <w:t>XXX</w:t>
      </w:r>
    </w:p>
    <w:p w:rsidR="0062164E" w:rsidRPr="00B05407" w:rsidRDefault="0062164E" w:rsidP="0062164E">
      <w:pPr>
        <w:spacing w:after="0" w:line="360" w:lineRule="auto"/>
        <w:jc w:val="both"/>
        <w:rPr>
          <w:rFonts w:asciiTheme="minorHAnsi" w:hAnsiTheme="minorHAnsi" w:cs="Times New Roman"/>
          <w:sz w:val="24"/>
          <w:szCs w:val="24"/>
        </w:rPr>
      </w:pPr>
    </w:p>
    <w:p w:rsidR="0062164E" w:rsidRPr="00B05407" w:rsidRDefault="0062164E" w:rsidP="0062164E">
      <w:pPr>
        <w:spacing w:after="0" w:line="360" w:lineRule="auto"/>
        <w:jc w:val="both"/>
        <w:rPr>
          <w:rFonts w:asciiTheme="minorHAnsi" w:hAnsiTheme="minorHAnsi" w:cs="Times New Roman"/>
          <w:sz w:val="24"/>
          <w:szCs w:val="24"/>
        </w:rPr>
      </w:pPr>
      <w:r w:rsidRPr="00B05407">
        <w:rPr>
          <w:rFonts w:asciiTheme="minorHAnsi" w:hAnsiTheme="minorHAnsi" w:cs="Times New Roman"/>
          <w:sz w:val="24"/>
          <w:szCs w:val="24"/>
        </w:rPr>
        <w:t xml:space="preserve">CONSIDERING the purpose of the PARTNER to provide for and to promote, </w:t>
      </w:r>
      <w:r w:rsidRPr="00B05407">
        <w:rPr>
          <w:rFonts w:asciiTheme="minorHAnsi" w:hAnsiTheme="minorHAnsi" w:cs="Times New Roman"/>
          <w:color w:val="FF0000"/>
          <w:sz w:val="28"/>
          <w:szCs w:val="28"/>
        </w:rPr>
        <w:t>XXX</w:t>
      </w:r>
    </w:p>
    <w:p w:rsidR="0062164E" w:rsidRPr="00B05407" w:rsidRDefault="0062164E" w:rsidP="0062164E">
      <w:pPr>
        <w:spacing w:after="0" w:line="360" w:lineRule="auto"/>
        <w:jc w:val="both"/>
        <w:rPr>
          <w:rFonts w:asciiTheme="minorHAnsi" w:hAnsiTheme="minorHAnsi" w:cs="Times New Roman"/>
          <w:sz w:val="24"/>
          <w:szCs w:val="24"/>
        </w:rPr>
      </w:pPr>
    </w:p>
    <w:p w:rsidR="0062164E" w:rsidRPr="00B05407" w:rsidRDefault="0062164E" w:rsidP="0062164E">
      <w:pPr>
        <w:spacing w:after="0" w:line="360" w:lineRule="auto"/>
        <w:rPr>
          <w:rFonts w:asciiTheme="minorHAnsi" w:hAnsiTheme="minorHAnsi" w:cs="Times New Roman"/>
          <w:sz w:val="24"/>
          <w:szCs w:val="24"/>
        </w:rPr>
      </w:pPr>
      <w:r w:rsidRPr="00B05407">
        <w:rPr>
          <w:rFonts w:asciiTheme="minorHAnsi" w:hAnsiTheme="minorHAnsi" w:cs="Times New Roman"/>
          <w:sz w:val="24"/>
          <w:szCs w:val="24"/>
        </w:rPr>
        <w:lastRenderedPageBreak/>
        <w:t xml:space="preserve">HAVING REGARD to Article </w:t>
      </w:r>
      <w:r w:rsidRPr="00B05407">
        <w:rPr>
          <w:rFonts w:asciiTheme="minorHAnsi" w:hAnsiTheme="minorHAnsi" w:cs="Times New Roman"/>
          <w:color w:val="FF0000"/>
          <w:sz w:val="24"/>
          <w:szCs w:val="24"/>
        </w:rPr>
        <w:t>XXX</w:t>
      </w:r>
      <w:r w:rsidRPr="00B05407">
        <w:rPr>
          <w:rFonts w:asciiTheme="minorHAnsi" w:hAnsiTheme="minorHAnsi" w:cs="Times New Roman"/>
          <w:sz w:val="24"/>
          <w:szCs w:val="24"/>
        </w:rPr>
        <w:t xml:space="preserve"> of the COMPANY Convention providing that COMPANY may co-operate with other organisations;</w:t>
      </w:r>
      <w:r w:rsidRPr="00B05407">
        <w:rPr>
          <w:rFonts w:asciiTheme="minorHAnsi" w:hAnsiTheme="minorHAnsi" w:cs="Times New Roman"/>
          <w:sz w:val="24"/>
          <w:szCs w:val="24"/>
        </w:rPr>
        <w:br/>
      </w:r>
    </w:p>
    <w:p w:rsidR="0062164E" w:rsidRPr="00B05407" w:rsidRDefault="0062164E" w:rsidP="0062164E">
      <w:pPr>
        <w:autoSpaceDE w:val="0"/>
        <w:autoSpaceDN w:val="0"/>
        <w:adjustRightInd w:val="0"/>
        <w:spacing w:after="0" w:line="360" w:lineRule="auto"/>
        <w:jc w:val="both"/>
        <w:rPr>
          <w:rFonts w:asciiTheme="minorHAnsi" w:hAnsiTheme="minorHAnsi" w:cs="Times New Roman"/>
          <w:sz w:val="24"/>
          <w:szCs w:val="24"/>
        </w:rPr>
      </w:pPr>
      <w:r w:rsidRPr="00B05407">
        <w:rPr>
          <w:rFonts w:asciiTheme="minorHAnsi" w:hAnsiTheme="minorHAnsi" w:cs="Times New Roman"/>
          <w:sz w:val="24"/>
          <w:szCs w:val="24"/>
        </w:rPr>
        <w:t>CONSIDERING that some of the activities carried out by one Party in pursuing its objectives may be of interest to the other Party, or profit from a contribution by the other Party;</w:t>
      </w:r>
    </w:p>
    <w:p w:rsidR="0062164E" w:rsidRPr="00B05407" w:rsidRDefault="0062164E" w:rsidP="0062164E">
      <w:pPr>
        <w:autoSpaceDE w:val="0"/>
        <w:autoSpaceDN w:val="0"/>
        <w:adjustRightInd w:val="0"/>
        <w:spacing w:after="0" w:line="360" w:lineRule="auto"/>
        <w:jc w:val="both"/>
        <w:rPr>
          <w:rFonts w:asciiTheme="minorHAnsi" w:hAnsiTheme="minorHAnsi" w:cs="Times New Roman"/>
          <w:sz w:val="24"/>
          <w:szCs w:val="24"/>
        </w:rPr>
      </w:pPr>
    </w:p>
    <w:p w:rsidR="0062164E" w:rsidRPr="00B05407" w:rsidRDefault="0062164E" w:rsidP="0062164E">
      <w:pPr>
        <w:autoSpaceDE w:val="0"/>
        <w:autoSpaceDN w:val="0"/>
        <w:adjustRightInd w:val="0"/>
        <w:spacing w:after="0" w:line="360" w:lineRule="auto"/>
        <w:jc w:val="both"/>
        <w:rPr>
          <w:rFonts w:asciiTheme="minorHAnsi" w:hAnsiTheme="minorHAnsi" w:cs="Times New Roman"/>
          <w:sz w:val="24"/>
          <w:szCs w:val="24"/>
        </w:rPr>
      </w:pPr>
      <w:r w:rsidRPr="00B05407">
        <w:rPr>
          <w:rFonts w:asciiTheme="minorHAnsi" w:hAnsiTheme="minorHAnsi" w:cs="Times New Roman"/>
          <w:sz w:val="24"/>
          <w:szCs w:val="24"/>
        </w:rPr>
        <w:t>CONSIDERING that it would be in the Parties mutual interest to carry out enhanced co-operation in areas common to both;</w:t>
      </w:r>
    </w:p>
    <w:p w:rsidR="0062164E" w:rsidRPr="00B05407" w:rsidRDefault="0062164E" w:rsidP="0062164E">
      <w:pPr>
        <w:autoSpaceDE w:val="0"/>
        <w:autoSpaceDN w:val="0"/>
        <w:adjustRightInd w:val="0"/>
        <w:spacing w:after="0" w:line="360" w:lineRule="auto"/>
        <w:jc w:val="both"/>
        <w:rPr>
          <w:rFonts w:asciiTheme="minorHAnsi" w:hAnsiTheme="minorHAnsi" w:cs="Times New Roman"/>
          <w:sz w:val="24"/>
          <w:szCs w:val="24"/>
        </w:rPr>
      </w:pPr>
    </w:p>
    <w:p w:rsidR="0062164E" w:rsidRPr="00B05407" w:rsidRDefault="0062164E" w:rsidP="0062164E">
      <w:pPr>
        <w:autoSpaceDE w:val="0"/>
        <w:autoSpaceDN w:val="0"/>
        <w:adjustRightInd w:val="0"/>
        <w:spacing w:after="0" w:line="360" w:lineRule="auto"/>
        <w:jc w:val="both"/>
        <w:rPr>
          <w:rFonts w:asciiTheme="minorHAnsi" w:hAnsiTheme="minorHAnsi" w:cs="Times New Roman"/>
          <w:sz w:val="24"/>
          <w:szCs w:val="24"/>
        </w:rPr>
      </w:pPr>
      <w:r w:rsidRPr="00B05407">
        <w:rPr>
          <w:rFonts w:asciiTheme="minorHAnsi" w:hAnsiTheme="minorHAnsi" w:cs="Times New Roman"/>
          <w:sz w:val="24"/>
          <w:szCs w:val="24"/>
        </w:rPr>
        <w:t>DESIRING to establish, in working towards this end, a basis for co-operation which would moreover, optimise the use of their resources;</w:t>
      </w:r>
    </w:p>
    <w:p w:rsidR="0062164E" w:rsidRPr="00B05407" w:rsidRDefault="0062164E" w:rsidP="0062164E">
      <w:pPr>
        <w:rPr>
          <w:rFonts w:asciiTheme="minorHAnsi" w:hAnsiTheme="minorHAnsi" w:cs="Times New Roman"/>
          <w:sz w:val="24"/>
          <w:szCs w:val="24"/>
        </w:rPr>
      </w:pPr>
    </w:p>
    <w:p w:rsidR="0062164E" w:rsidRPr="00B05407" w:rsidRDefault="0062164E" w:rsidP="0062164E">
      <w:pPr>
        <w:spacing w:line="360" w:lineRule="auto"/>
        <w:jc w:val="both"/>
        <w:rPr>
          <w:rFonts w:asciiTheme="minorHAnsi" w:hAnsiTheme="minorHAnsi" w:cs="Times New Roman"/>
          <w:sz w:val="24"/>
          <w:szCs w:val="24"/>
        </w:rPr>
      </w:pPr>
      <w:r w:rsidRPr="00B05407">
        <w:rPr>
          <w:rFonts w:asciiTheme="minorHAnsi" w:hAnsiTheme="minorHAnsi" w:cs="Times New Roman"/>
          <w:sz w:val="24"/>
          <w:szCs w:val="24"/>
        </w:rPr>
        <w:t>HAVE AGREED AS FOLLOWS:</w:t>
      </w:r>
    </w:p>
    <w:p w:rsidR="0062164E" w:rsidRPr="00B05407" w:rsidRDefault="0062164E" w:rsidP="0062164E">
      <w:pPr>
        <w:pStyle w:val="HeadingArticle"/>
        <w:numPr>
          <w:ilvl w:val="0"/>
          <w:numId w:val="18"/>
        </w:numPr>
        <w:tabs>
          <w:tab w:val="left" w:pos="1560"/>
        </w:tabs>
        <w:rPr>
          <w:rFonts w:asciiTheme="minorHAnsi" w:hAnsiTheme="minorHAnsi"/>
        </w:rPr>
      </w:pPr>
      <w:r w:rsidRPr="00B05407">
        <w:rPr>
          <w:rFonts w:asciiTheme="minorHAnsi" w:hAnsiTheme="minorHAnsi"/>
        </w:rPr>
        <w:t>PURPOSE</w:t>
      </w:r>
    </w:p>
    <w:p w:rsidR="0062164E" w:rsidRPr="00B05407" w:rsidRDefault="0062164E" w:rsidP="0062164E">
      <w:pPr>
        <w:pStyle w:val="HeadingArticle"/>
        <w:ind w:left="792"/>
        <w:rPr>
          <w:rFonts w:asciiTheme="minorHAnsi" w:hAnsiTheme="minorHAnsi"/>
          <w:bCs/>
        </w:rPr>
      </w:pPr>
    </w:p>
    <w:p w:rsidR="0062164E" w:rsidRPr="00B05407" w:rsidRDefault="0062164E" w:rsidP="0062164E">
      <w:pPr>
        <w:pStyle w:val="HeadingArticle"/>
        <w:numPr>
          <w:ilvl w:val="1"/>
          <w:numId w:val="17"/>
        </w:numPr>
        <w:ind w:hanging="792"/>
        <w:rPr>
          <w:rFonts w:asciiTheme="minorHAnsi" w:hAnsiTheme="minorHAnsi"/>
          <w:b w:val="0"/>
          <w:bCs/>
        </w:rPr>
      </w:pPr>
      <w:r w:rsidRPr="00B05407">
        <w:rPr>
          <w:rFonts w:asciiTheme="minorHAnsi" w:hAnsiTheme="minorHAnsi"/>
          <w:b w:val="0"/>
          <w:bCs/>
        </w:rPr>
        <w:t>The purpose of this Agreement is to establish a general framework for mutual co-operation and exchange of information between the Parties, with regard to scientific investigation, research and development, in accordance with their respective tasks and responsibilities.</w:t>
      </w:r>
    </w:p>
    <w:p w:rsidR="0062164E" w:rsidRPr="00B05407" w:rsidRDefault="0062164E" w:rsidP="0062164E">
      <w:pPr>
        <w:autoSpaceDE w:val="0"/>
        <w:autoSpaceDN w:val="0"/>
        <w:adjustRightInd w:val="0"/>
        <w:spacing w:after="0" w:line="360" w:lineRule="auto"/>
        <w:jc w:val="both"/>
        <w:rPr>
          <w:rFonts w:asciiTheme="minorHAnsi" w:hAnsiTheme="minorHAnsi" w:cs="Times New Roman"/>
          <w:sz w:val="24"/>
          <w:szCs w:val="24"/>
        </w:rPr>
      </w:pPr>
    </w:p>
    <w:p w:rsidR="0062164E" w:rsidRPr="00B05407" w:rsidRDefault="0062164E" w:rsidP="0062164E">
      <w:pPr>
        <w:autoSpaceDE w:val="0"/>
        <w:autoSpaceDN w:val="0"/>
        <w:adjustRightInd w:val="0"/>
        <w:spacing w:after="0" w:line="360" w:lineRule="auto"/>
        <w:ind w:firstLine="709"/>
        <w:jc w:val="both"/>
        <w:rPr>
          <w:rFonts w:asciiTheme="minorHAnsi" w:hAnsiTheme="minorHAnsi" w:cs="Times New Roman"/>
          <w:sz w:val="24"/>
          <w:szCs w:val="24"/>
        </w:rPr>
      </w:pPr>
      <w:r w:rsidRPr="00B05407">
        <w:rPr>
          <w:rFonts w:asciiTheme="minorHAnsi" w:hAnsiTheme="minorHAnsi" w:cs="Times New Roman"/>
          <w:sz w:val="24"/>
          <w:szCs w:val="24"/>
        </w:rPr>
        <w:t>Such co-operation shall include:</w:t>
      </w:r>
    </w:p>
    <w:p w:rsidR="0062164E" w:rsidRPr="00B05407" w:rsidRDefault="0062164E" w:rsidP="0062164E">
      <w:pPr>
        <w:autoSpaceDE w:val="0"/>
        <w:autoSpaceDN w:val="0"/>
        <w:adjustRightInd w:val="0"/>
        <w:spacing w:after="0" w:line="360" w:lineRule="auto"/>
        <w:ind w:firstLine="709"/>
        <w:jc w:val="both"/>
        <w:rPr>
          <w:rFonts w:asciiTheme="minorHAnsi" w:hAnsiTheme="minorHAnsi" w:cs="Times New Roman"/>
          <w:sz w:val="24"/>
          <w:szCs w:val="24"/>
        </w:rPr>
      </w:pPr>
    </w:p>
    <w:p w:rsidR="0062164E" w:rsidRPr="00B05407" w:rsidRDefault="0062164E" w:rsidP="0062164E">
      <w:pPr>
        <w:pStyle w:val="Listenabsatz"/>
        <w:numPr>
          <w:ilvl w:val="2"/>
          <w:numId w:val="16"/>
        </w:numPr>
        <w:tabs>
          <w:tab w:val="left" w:pos="1134"/>
        </w:tabs>
        <w:autoSpaceDE w:val="0"/>
        <w:autoSpaceDN w:val="0"/>
        <w:adjustRightInd w:val="0"/>
        <w:spacing w:after="0" w:line="360" w:lineRule="auto"/>
        <w:ind w:left="1134" w:hanging="463"/>
        <w:jc w:val="both"/>
        <w:rPr>
          <w:rFonts w:asciiTheme="minorHAnsi" w:hAnsiTheme="minorHAnsi" w:cs="Times New Roman"/>
          <w:sz w:val="24"/>
          <w:szCs w:val="24"/>
        </w:rPr>
      </w:pPr>
      <w:r w:rsidRPr="00B05407">
        <w:rPr>
          <w:rFonts w:asciiTheme="minorHAnsi" w:hAnsiTheme="minorHAnsi" w:cs="Times New Roman"/>
          <w:sz w:val="24"/>
          <w:szCs w:val="24"/>
        </w:rPr>
        <w:t xml:space="preserve">Research in the fields of accelerator science especially </w:t>
      </w:r>
      <w:r w:rsidRPr="00B05407">
        <w:rPr>
          <w:rFonts w:asciiTheme="minorHAnsi" w:hAnsiTheme="minorHAnsi" w:cs="Times New Roman"/>
          <w:color w:val="FF0000"/>
          <w:sz w:val="28"/>
          <w:szCs w:val="28"/>
        </w:rPr>
        <w:t>XXX</w:t>
      </w:r>
    </w:p>
    <w:p w:rsidR="0062164E" w:rsidRPr="00B05407" w:rsidRDefault="0062164E" w:rsidP="0062164E">
      <w:pPr>
        <w:pStyle w:val="Listenabsatz"/>
        <w:numPr>
          <w:ilvl w:val="2"/>
          <w:numId w:val="16"/>
        </w:numPr>
        <w:tabs>
          <w:tab w:val="left" w:pos="1134"/>
        </w:tabs>
        <w:autoSpaceDE w:val="0"/>
        <w:autoSpaceDN w:val="0"/>
        <w:adjustRightInd w:val="0"/>
        <w:spacing w:after="0" w:line="360" w:lineRule="auto"/>
        <w:ind w:left="1134" w:hanging="463"/>
        <w:jc w:val="both"/>
        <w:rPr>
          <w:rFonts w:asciiTheme="minorHAnsi" w:hAnsiTheme="minorHAnsi" w:cs="Times New Roman"/>
          <w:sz w:val="24"/>
          <w:szCs w:val="24"/>
        </w:rPr>
      </w:pPr>
      <w:r w:rsidRPr="00B05407">
        <w:rPr>
          <w:rFonts w:asciiTheme="minorHAnsi" w:hAnsiTheme="minorHAnsi" w:cs="Times New Roman"/>
          <w:sz w:val="24"/>
          <w:szCs w:val="24"/>
        </w:rPr>
        <w:t xml:space="preserve">Activities in areas of common interest concerning technological/software developments; </w:t>
      </w:r>
    </w:p>
    <w:p w:rsidR="0062164E" w:rsidRPr="00B05407" w:rsidRDefault="0062164E" w:rsidP="0062164E">
      <w:pPr>
        <w:pStyle w:val="Listenabsatz"/>
        <w:numPr>
          <w:ilvl w:val="2"/>
          <w:numId w:val="16"/>
        </w:numPr>
        <w:tabs>
          <w:tab w:val="left" w:pos="1134"/>
        </w:tabs>
        <w:autoSpaceDE w:val="0"/>
        <w:autoSpaceDN w:val="0"/>
        <w:adjustRightInd w:val="0"/>
        <w:spacing w:after="0" w:line="360" w:lineRule="auto"/>
        <w:ind w:left="1134" w:hanging="463"/>
        <w:jc w:val="both"/>
        <w:rPr>
          <w:rFonts w:asciiTheme="minorHAnsi" w:hAnsiTheme="minorHAnsi" w:cs="Times New Roman"/>
          <w:sz w:val="24"/>
          <w:szCs w:val="24"/>
        </w:rPr>
      </w:pPr>
      <w:r w:rsidRPr="00B05407">
        <w:rPr>
          <w:rFonts w:asciiTheme="minorHAnsi" w:hAnsiTheme="minorHAnsi" w:cs="Times New Roman"/>
          <w:sz w:val="24"/>
          <w:szCs w:val="24"/>
        </w:rPr>
        <w:t>Exchange of information concerning the co-ordination of the broad scientific community in areas of common interest.</w:t>
      </w:r>
    </w:p>
    <w:p w:rsidR="0062164E" w:rsidRPr="00B05407" w:rsidRDefault="0062164E" w:rsidP="0062164E">
      <w:pPr>
        <w:autoSpaceDE w:val="0"/>
        <w:autoSpaceDN w:val="0"/>
        <w:adjustRightInd w:val="0"/>
        <w:spacing w:after="0" w:line="360" w:lineRule="auto"/>
        <w:jc w:val="both"/>
        <w:rPr>
          <w:rFonts w:asciiTheme="minorHAnsi" w:hAnsiTheme="minorHAnsi" w:cs="Times New Roman"/>
          <w:b/>
          <w:bCs/>
          <w:sz w:val="24"/>
          <w:szCs w:val="24"/>
        </w:rPr>
      </w:pPr>
    </w:p>
    <w:p w:rsidR="0062164E" w:rsidRPr="00B05407" w:rsidRDefault="0062164E" w:rsidP="0062164E">
      <w:pPr>
        <w:pStyle w:val="HeadingArticle"/>
        <w:numPr>
          <w:ilvl w:val="1"/>
          <w:numId w:val="17"/>
        </w:numPr>
        <w:ind w:hanging="792"/>
        <w:rPr>
          <w:rFonts w:asciiTheme="minorHAnsi" w:hAnsiTheme="minorHAnsi"/>
          <w:b w:val="0"/>
          <w:bCs/>
        </w:rPr>
      </w:pPr>
      <w:r w:rsidRPr="00B05407">
        <w:rPr>
          <w:rFonts w:asciiTheme="minorHAnsi" w:hAnsiTheme="minorHAnsi"/>
          <w:b w:val="0"/>
          <w:bCs/>
        </w:rPr>
        <w:t>The objectives of this Agreement may be achieved by the Parties through such activities as:</w:t>
      </w:r>
    </w:p>
    <w:p w:rsidR="0062164E" w:rsidRPr="00B05407" w:rsidRDefault="0062164E" w:rsidP="0062164E">
      <w:pPr>
        <w:pStyle w:val="HeadingArticle"/>
        <w:ind w:left="792"/>
        <w:rPr>
          <w:rFonts w:asciiTheme="minorHAnsi" w:hAnsiTheme="minorHAnsi"/>
          <w:b w:val="0"/>
          <w:bCs/>
        </w:rPr>
      </w:pPr>
    </w:p>
    <w:p w:rsidR="0062164E" w:rsidRPr="00B05407" w:rsidRDefault="0062164E" w:rsidP="0062164E">
      <w:pPr>
        <w:tabs>
          <w:tab w:val="left" w:pos="993"/>
        </w:tabs>
        <w:autoSpaceDE w:val="0"/>
        <w:autoSpaceDN w:val="0"/>
        <w:adjustRightInd w:val="0"/>
        <w:spacing w:after="0" w:line="360" w:lineRule="auto"/>
        <w:ind w:left="993" w:hanging="273"/>
        <w:jc w:val="both"/>
        <w:rPr>
          <w:rFonts w:asciiTheme="minorHAnsi" w:hAnsiTheme="minorHAnsi" w:cs="Times New Roman"/>
          <w:sz w:val="24"/>
          <w:szCs w:val="24"/>
        </w:rPr>
      </w:pPr>
      <w:r w:rsidRPr="00B05407">
        <w:rPr>
          <w:rFonts w:asciiTheme="minorHAnsi" w:hAnsiTheme="minorHAnsi" w:cs="Times New Roman"/>
          <w:sz w:val="24"/>
          <w:szCs w:val="24"/>
        </w:rPr>
        <w:t xml:space="preserve">- </w:t>
      </w:r>
      <w:r w:rsidRPr="00B05407">
        <w:rPr>
          <w:rFonts w:asciiTheme="minorHAnsi" w:hAnsiTheme="minorHAnsi" w:cs="Times New Roman"/>
          <w:sz w:val="24"/>
          <w:szCs w:val="24"/>
        </w:rPr>
        <w:tab/>
        <w:t>utilisation of the ac</w:t>
      </w:r>
      <w:r w:rsidR="008A213D" w:rsidRPr="00B05407">
        <w:rPr>
          <w:rFonts w:asciiTheme="minorHAnsi" w:hAnsiTheme="minorHAnsi" w:cs="Times New Roman"/>
          <w:sz w:val="24"/>
          <w:szCs w:val="24"/>
        </w:rPr>
        <w:t>celerator facilities of COMPANY;</w:t>
      </w:r>
    </w:p>
    <w:p w:rsidR="0062164E" w:rsidRPr="00B05407" w:rsidRDefault="0062164E" w:rsidP="0062164E">
      <w:pPr>
        <w:pStyle w:val="Listenabsatz"/>
        <w:numPr>
          <w:ilvl w:val="0"/>
          <w:numId w:val="19"/>
        </w:numPr>
        <w:tabs>
          <w:tab w:val="left" w:pos="993"/>
        </w:tabs>
        <w:autoSpaceDE w:val="0"/>
        <w:autoSpaceDN w:val="0"/>
        <w:adjustRightInd w:val="0"/>
        <w:spacing w:after="0" w:line="360" w:lineRule="auto"/>
        <w:jc w:val="both"/>
        <w:rPr>
          <w:rFonts w:asciiTheme="minorHAnsi" w:hAnsiTheme="minorHAnsi" w:cs="Times New Roman"/>
          <w:sz w:val="24"/>
          <w:szCs w:val="24"/>
        </w:rPr>
      </w:pPr>
      <w:r w:rsidRPr="00B05407">
        <w:rPr>
          <w:rFonts w:asciiTheme="minorHAnsi" w:hAnsiTheme="minorHAnsi" w:cs="Times New Roman"/>
          <w:sz w:val="24"/>
          <w:szCs w:val="24"/>
        </w:rPr>
        <w:t>exchange of information regarding programmes and projects, research results or publications;</w:t>
      </w:r>
    </w:p>
    <w:p w:rsidR="0062164E" w:rsidRPr="00B05407" w:rsidRDefault="0062164E" w:rsidP="0062164E">
      <w:pPr>
        <w:tabs>
          <w:tab w:val="left" w:pos="993"/>
        </w:tabs>
        <w:autoSpaceDE w:val="0"/>
        <w:autoSpaceDN w:val="0"/>
        <w:adjustRightInd w:val="0"/>
        <w:spacing w:after="0" w:line="360" w:lineRule="auto"/>
        <w:ind w:left="720"/>
        <w:jc w:val="both"/>
        <w:rPr>
          <w:rFonts w:asciiTheme="minorHAnsi" w:hAnsiTheme="minorHAnsi" w:cs="Times New Roman"/>
          <w:sz w:val="24"/>
          <w:szCs w:val="24"/>
        </w:rPr>
      </w:pPr>
      <w:r w:rsidRPr="00B05407">
        <w:rPr>
          <w:rFonts w:asciiTheme="minorHAnsi" w:hAnsiTheme="minorHAnsi" w:cs="Times New Roman"/>
          <w:sz w:val="24"/>
          <w:szCs w:val="24"/>
        </w:rPr>
        <w:t xml:space="preserve">- </w:t>
      </w:r>
      <w:r w:rsidRPr="00B05407">
        <w:rPr>
          <w:rFonts w:asciiTheme="minorHAnsi" w:hAnsiTheme="minorHAnsi" w:cs="Times New Roman"/>
          <w:sz w:val="24"/>
          <w:szCs w:val="24"/>
        </w:rPr>
        <w:tab/>
        <w:t>the execution of joint analyses, evolution and development of software tools;</w:t>
      </w:r>
    </w:p>
    <w:p w:rsidR="0062164E" w:rsidRPr="00B05407" w:rsidRDefault="0062164E" w:rsidP="0062164E">
      <w:pPr>
        <w:autoSpaceDE w:val="0"/>
        <w:autoSpaceDN w:val="0"/>
        <w:adjustRightInd w:val="0"/>
        <w:spacing w:after="0" w:line="360" w:lineRule="auto"/>
        <w:ind w:left="993" w:hanging="284"/>
        <w:jc w:val="both"/>
        <w:rPr>
          <w:rFonts w:asciiTheme="minorHAnsi" w:hAnsiTheme="minorHAnsi" w:cs="Times New Roman"/>
          <w:sz w:val="24"/>
          <w:szCs w:val="24"/>
        </w:rPr>
      </w:pPr>
      <w:r w:rsidRPr="00B05407">
        <w:rPr>
          <w:rFonts w:asciiTheme="minorHAnsi" w:hAnsiTheme="minorHAnsi" w:cs="Times New Roman"/>
          <w:sz w:val="24"/>
          <w:szCs w:val="24"/>
        </w:rPr>
        <w:lastRenderedPageBreak/>
        <w:t xml:space="preserve">- </w:t>
      </w:r>
      <w:r w:rsidRPr="00B05407">
        <w:rPr>
          <w:rFonts w:asciiTheme="minorHAnsi" w:hAnsiTheme="minorHAnsi" w:cs="Times New Roman"/>
          <w:sz w:val="24"/>
          <w:szCs w:val="24"/>
        </w:rPr>
        <w:tab/>
        <w:t>the co-ordination of research and development programmes and projects and their execution based on shared effort;</w:t>
      </w:r>
    </w:p>
    <w:p w:rsidR="0062164E" w:rsidRPr="00B05407" w:rsidRDefault="0062164E" w:rsidP="0062164E">
      <w:pPr>
        <w:tabs>
          <w:tab w:val="left" w:pos="993"/>
        </w:tabs>
        <w:autoSpaceDE w:val="0"/>
        <w:autoSpaceDN w:val="0"/>
        <w:adjustRightInd w:val="0"/>
        <w:spacing w:after="0" w:line="360" w:lineRule="auto"/>
        <w:ind w:left="720"/>
        <w:jc w:val="both"/>
        <w:rPr>
          <w:rFonts w:asciiTheme="minorHAnsi" w:hAnsiTheme="minorHAnsi" w:cs="Times New Roman"/>
          <w:sz w:val="24"/>
          <w:szCs w:val="24"/>
        </w:rPr>
      </w:pPr>
      <w:r w:rsidRPr="00B05407">
        <w:rPr>
          <w:rFonts w:asciiTheme="minorHAnsi" w:hAnsiTheme="minorHAnsi" w:cs="Times New Roman"/>
          <w:sz w:val="24"/>
          <w:szCs w:val="24"/>
        </w:rPr>
        <w:t xml:space="preserve">- </w:t>
      </w:r>
      <w:r w:rsidRPr="00B05407">
        <w:rPr>
          <w:rFonts w:asciiTheme="minorHAnsi" w:hAnsiTheme="minorHAnsi" w:cs="Times New Roman"/>
          <w:sz w:val="24"/>
          <w:szCs w:val="24"/>
        </w:rPr>
        <w:tab/>
        <w:t>the mutual support to symposia or conferences;</w:t>
      </w:r>
    </w:p>
    <w:p w:rsidR="0062164E" w:rsidRPr="00B05407" w:rsidRDefault="0062164E" w:rsidP="0062164E">
      <w:pPr>
        <w:tabs>
          <w:tab w:val="left" w:pos="993"/>
        </w:tabs>
        <w:autoSpaceDE w:val="0"/>
        <w:autoSpaceDN w:val="0"/>
        <w:adjustRightInd w:val="0"/>
        <w:spacing w:after="0" w:line="360" w:lineRule="auto"/>
        <w:ind w:left="720"/>
        <w:jc w:val="both"/>
        <w:rPr>
          <w:rFonts w:asciiTheme="minorHAnsi" w:hAnsiTheme="minorHAnsi" w:cs="Times New Roman"/>
          <w:sz w:val="24"/>
          <w:szCs w:val="24"/>
        </w:rPr>
      </w:pPr>
      <w:r w:rsidRPr="00B05407">
        <w:rPr>
          <w:rFonts w:asciiTheme="minorHAnsi" w:hAnsiTheme="minorHAnsi" w:cs="Times New Roman"/>
          <w:sz w:val="24"/>
          <w:szCs w:val="24"/>
        </w:rPr>
        <w:t xml:space="preserve">- </w:t>
      </w:r>
      <w:r w:rsidRPr="00B05407">
        <w:rPr>
          <w:rFonts w:asciiTheme="minorHAnsi" w:hAnsiTheme="minorHAnsi" w:cs="Times New Roman"/>
          <w:sz w:val="24"/>
          <w:szCs w:val="24"/>
        </w:rPr>
        <w:tab/>
        <w:t>joint information and public relations activities;</w:t>
      </w:r>
    </w:p>
    <w:p w:rsidR="0062164E" w:rsidRPr="00B05407" w:rsidRDefault="0062164E" w:rsidP="0062164E">
      <w:pPr>
        <w:tabs>
          <w:tab w:val="left" w:pos="993"/>
        </w:tabs>
        <w:autoSpaceDE w:val="0"/>
        <w:autoSpaceDN w:val="0"/>
        <w:adjustRightInd w:val="0"/>
        <w:spacing w:after="0" w:line="360" w:lineRule="auto"/>
        <w:ind w:left="720"/>
        <w:jc w:val="both"/>
        <w:rPr>
          <w:rFonts w:asciiTheme="minorHAnsi" w:hAnsiTheme="minorHAnsi" w:cs="Times New Roman"/>
          <w:sz w:val="24"/>
          <w:szCs w:val="24"/>
        </w:rPr>
      </w:pPr>
      <w:r w:rsidRPr="00B05407">
        <w:rPr>
          <w:rFonts w:asciiTheme="minorHAnsi" w:hAnsiTheme="minorHAnsi" w:cs="Times New Roman"/>
          <w:sz w:val="24"/>
          <w:szCs w:val="24"/>
        </w:rPr>
        <w:t xml:space="preserve">- </w:t>
      </w:r>
      <w:r w:rsidRPr="00B05407">
        <w:rPr>
          <w:rFonts w:asciiTheme="minorHAnsi" w:hAnsiTheme="minorHAnsi" w:cs="Times New Roman"/>
          <w:sz w:val="24"/>
          <w:szCs w:val="24"/>
        </w:rPr>
        <w:tab/>
        <w:t>information on training of personnel and educational programmes.</w:t>
      </w:r>
    </w:p>
    <w:p w:rsidR="0062164E" w:rsidRPr="00B05407" w:rsidRDefault="0062164E" w:rsidP="0062164E">
      <w:pPr>
        <w:autoSpaceDE w:val="0"/>
        <w:autoSpaceDN w:val="0"/>
        <w:adjustRightInd w:val="0"/>
        <w:spacing w:after="0" w:line="360" w:lineRule="auto"/>
        <w:jc w:val="both"/>
        <w:rPr>
          <w:rFonts w:asciiTheme="minorHAnsi" w:hAnsiTheme="minorHAnsi" w:cs="Times New Roman"/>
          <w:sz w:val="24"/>
          <w:szCs w:val="24"/>
        </w:rPr>
      </w:pPr>
    </w:p>
    <w:p w:rsidR="0062164E" w:rsidRPr="00B05407" w:rsidRDefault="0062164E" w:rsidP="0062164E">
      <w:pPr>
        <w:autoSpaceDE w:val="0"/>
        <w:autoSpaceDN w:val="0"/>
        <w:adjustRightInd w:val="0"/>
        <w:spacing w:after="0" w:line="360" w:lineRule="auto"/>
        <w:jc w:val="both"/>
        <w:rPr>
          <w:rFonts w:asciiTheme="minorHAnsi" w:hAnsiTheme="minorHAnsi" w:cs="Times New Roman"/>
          <w:sz w:val="24"/>
          <w:szCs w:val="24"/>
        </w:rPr>
      </w:pPr>
    </w:p>
    <w:p w:rsidR="0062164E" w:rsidRPr="00B05407" w:rsidRDefault="0062164E" w:rsidP="0062164E">
      <w:pPr>
        <w:pStyle w:val="HeadingArticle"/>
        <w:numPr>
          <w:ilvl w:val="0"/>
          <w:numId w:val="18"/>
        </w:numPr>
        <w:tabs>
          <w:tab w:val="left" w:pos="1560"/>
        </w:tabs>
        <w:rPr>
          <w:rFonts w:asciiTheme="minorHAnsi" w:hAnsiTheme="minorHAnsi"/>
        </w:rPr>
      </w:pPr>
      <w:r w:rsidRPr="00B05407">
        <w:rPr>
          <w:rFonts w:asciiTheme="minorHAnsi" w:hAnsiTheme="minorHAnsi"/>
        </w:rPr>
        <w:t>IMPLEMENTATION OF THE CO-OPERATION</w:t>
      </w:r>
    </w:p>
    <w:p w:rsidR="0062164E" w:rsidRPr="00B05407" w:rsidRDefault="0062164E" w:rsidP="0062164E">
      <w:pPr>
        <w:pStyle w:val="HeadingArticle"/>
        <w:tabs>
          <w:tab w:val="left" w:pos="1560"/>
        </w:tabs>
        <w:ind w:left="360"/>
        <w:rPr>
          <w:rFonts w:asciiTheme="minorHAnsi" w:hAnsiTheme="minorHAnsi"/>
        </w:rPr>
      </w:pPr>
    </w:p>
    <w:p w:rsidR="0062164E" w:rsidRPr="00B05407" w:rsidRDefault="0062164E" w:rsidP="0062164E">
      <w:pPr>
        <w:pStyle w:val="Listenabsatz"/>
        <w:numPr>
          <w:ilvl w:val="1"/>
          <w:numId w:val="17"/>
        </w:numPr>
        <w:autoSpaceDE w:val="0"/>
        <w:autoSpaceDN w:val="0"/>
        <w:adjustRightInd w:val="0"/>
        <w:spacing w:after="0" w:line="360" w:lineRule="auto"/>
        <w:ind w:hanging="792"/>
        <w:jc w:val="both"/>
        <w:rPr>
          <w:rFonts w:asciiTheme="minorHAnsi" w:hAnsiTheme="minorHAnsi" w:cs="Times New Roman"/>
          <w:bCs/>
          <w:sz w:val="24"/>
          <w:szCs w:val="24"/>
        </w:rPr>
      </w:pPr>
      <w:r w:rsidRPr="00B05407">
        <w:rPr>
          <w:rFonts w:asciiTheme="minorHAnsi" w:hAnsiTheme="minorHAnsi" w:cs="Times New Roman"/>
          <w:bCs/>
          <w:sz w:val="24"/>
          <w:szCs w:val="24"/>
        </w:rPr>
        <w:t>This Agreement shall be implemented through implementing arrangements (which may be called Protocols or Addenda), whenever necessary, relating to specific activities. The arrangements shall contain the tasks and responsibilities of each of the Parties and identify the availability of the resources required to complete the activity with a co-ordinated effort. It shall also describe managerial, technical and operational interfaces between the respective activities and the roles and responsibilities of the Parties.</w:t>
      </w:r>
    </w:p>
    <w:p w:rsidR="0062164E" w:rsidRPr="00B05407" w:rsidRDefault="0062164E" w:rsidP="0062164E">
      <w:pPr>
        <w:autoSpaceDE w:val="0"/>
        <w:autoSpaceDN w:val="0"/>
        <w:adjustRightInd w:val="0"/>
        <w:spacing w:after="0" w:line="360" w:lineRule="auto"/>
        <w:ind w:left="851" w:hanging="851"/>
        <w:jc w:val="both"/>
        <w:rPr>
          <w:rFonts w:asciiTheme="minorHAnsi" w:hAnsiTheme="minorHAnsi" w:cs="Times New Roman"/>
          <w:bCs/>
          <w:sz w:val="24"/>
          <w:szCs w:val="24"/>
        </w:rPr>
      </w:pPr>
    </w:p>
    <w:p w:rsidR="0062164E" w:rsidRPr="00B05407" w:rsidRDefault="0062164E" w:rsidP="0062164E">
      <w:pPr>
        <w:pStyle w:val="Listenabsatz"/>
        <w:numPr>
          <w:ilvl w:val="1"/>
          <w:numId w:val="17"/>
        </w:numPr>
        <w:autoSpaceDE w:val="0"/>
        <w:autoSpaceDN w:val="0"/>
        <w:adjustRightInd w:val="0"/>
        <w:spacing w:after="0" w:line="360" w:lineRule="auto"/>
        <w:ind w:hanging="792"/>
        <w:jc w:val="both"/>
        <w:rPr>
          <w:rFonts w:asciiTheme="minorHAnsi" w:hAnsiTheme="minorHAnsi" w:cs="Times New Roman"/>
          <w:bCs/>
          <w:sz w:val="24"/>
          <w:szCs w:val="24"/>
        </w:rPr>
      </w:pPr>
      <w:r w:rsidRPr="00B05407">
        <w:rPr>
          <w:rFonts w:asciiTheme="minorHAnsi" w:hAnsiTheme="minorHAnsi" w:cs="Times New Roman"/>
          <w:bCs/>
          <w:sz w:val="24"/>
          <w:szCs w:val="24"/>
        </w:rPr>
        <w:t>Each implementing arrangement shall be subject to the provisions of this Agreement and to the rules and procedures of each Party.</w:t>
      </w:r>
    </w:p>
    <w:p w:rsidR="0062164E" w:rsidRPr="00B05407" w:rsidRDefault="0062164E" w:rsidP="0062164E">
      <w:pPr>
        <w:autoSpaceDE w:val="0"/>
        <w:autoSpaceDN w:val="0"/>
        <w:adjustRightInd w:val="0"/>
        <w:spacing w:after="0" w:line="360" w:lineRule="auto"/>
        <w:ind w:left="851" w:hanging="851"/>
        <w:jc w:val="both"/>
        <w:rPr>
          <w:rFonts w:asciiTheme="minorHAnsi" w:hAnsiTheme="minorHAnsi" w:cs="Times New Roman"/>
          <w:bCs/>
          <w:sz w:val="24"/>
          <w:szCs w:val="24"/>
        </w:rPr>
      </w:pPr>
    </w:p>
    <w:p w:rsidR="0062164E" w:rsidRPr="00B05407" w:rsidRDefault="0062164E" w:rsidP="0062164E">
      <w:pPr>
        <w:pStyle w:val="Listenabsatz"/>
        <w:numPr>
          <w:ilvl w:val="1"/>
          <w:numId w:val="17"/>
        </w:numPr>
        <w:autoSpaceDE w:val="0"/>
        <w:autoSpaceDN w:val="0"/>
        <w:adjustRightInd w:val="0"/>
        <w:spacing w:after="0" w:line="360" w:lineRule="auto"/>
        <w:ind w:hanging="792"/>
        <w:jc w:val="both"/>
        <w:rPr>
          <w:rFonts w:asciiTheme="minorHAnsi" w:hAnsiTheme="minorHAnsi" w:cs="Times New Roman"/>
          <w:bCs/>
          <w:sz w:val="24"/>
          <w:szCs w:val="24"/>
        </w:rPr>
      </w:pPr>
      <w:r w:rsidRPr="00B05407">
        <w:rPr>
          <w:rFonts w:asciiTheme="minorHAnsi" w:hAnsiTheme="minorHAnsi" w:cs="Times New Roman"/>
          <w:bCs/>
          <w:sz w:val="24"/>
          <w:szCs w:val="24"/>
        </w:rPr>
        <w:t>Implementation of the co-operation may also be carried out in the form of services or works provided by one Party to the other in accordance with the rules and procedures of the Parties.</w:t>
      </w:r>
    </w:p>
    <w:p w:rsidR="0062164E" w:rsidRPr="00B05407" w:rsidRDefault="0062164E" w:rsidP="0062164E">
      <w:pPr>
        <w:autoSpaceDE w:val="0"/>
        <w:autoSpaceDN w:val="0"/>
        <w:adjustRightInd w:val="0"/>
        <w:spacing w:after="0" w:line="360" w:lineRule="auto"/>
        <w:jc w:val="both"/>
        <w:rPr>
          <w:rFonts w:asciiTheme="minorHAnsi" w:hAnsiTheme="minorHAnsi" w:cs="Times New Roman"/>
          <w:bCs/>
          <w:sz w:val="24"/>
          <w:szCs w:val="24"/>
        </w:rPr>
      </w:pPr>
    </w:p>
    <w:p w:rsidR="0062164E" w:rsidRPr="00B05407" w:rsidRDefault="0062164E" w:rsidP="0062164E">
      <w:pPr>
        <w:pStyle w:val="Listenabsatz"/>
        <w:numPr>
          <w:ilvl w:val="1"/>
          <w:numId w:val="17"/>
        </w:numPr>
        <w:autoSpaceDE w:val="0"/>
        <w:autoSpaceDN w:val="0"/>
        <w:adjustRightInd w:val="0"/>
        <w:spacing w:after="0" w:line="360" w:lineRule="auto"/>
        <w:ind w:hanging="792"/>
        <w:jc w:val="both"/>
        <w:rPr>
          <w:rFonts w:asciiTheme="minorHAnsi" w:hAnsiTheme="minorHAnsi" w:cs="Times New Roman"/>
          <w:bCs/>
          <w:sz w:val="24"/>
          <w:szCs w:val="24"/>
        </w:rPr>
      </w:pPr>
      <w:r w:rsidRPr="00B05407">
        <w:rPr>
          <w:rFonts w:asciiTheme="minorHAnsi" w:hAnsiTheme="minorHAnsi" w:cs="Times New Roman"/>
          <w:bCs/>
          <w:sz w:val="24"/>
          <w:szCs w:val="24"/>
        </w:rPr>
        <w:t>Bilateral meetings between the points of contact designated under Article 9 shall be held as often as necessary, and at least once a year, to review progress in the implementation of this Agreement, in particular but not limited to co-operation activities, on-going arrangements and planning of future activities.</w:t>
      </w:r>
    </w:p>
    <w:p w:rsidR="0062164E" w:rsidRPr="00B05407" w:rsidRDefault="0062164E" w:rsidP="0062164E">
      <w:pPr>
        <w:autoSpaceDE w:val="0"/>
        <w:autoSpaceDN w:val="0"/>
        <w:adjustRightInd w:val="0"/>
        <w:spacing w:after="0" w:line="360" w:lineRule="auto"/>
        <w:ind w:left="851" w:hanging="851"/>
        <w:jc w:val="both"/>
        <w:rPr>
          <w:rFonts w:asciiTheme="minorHAnsi" w:hAnsiTheme="minorHAnsi" w:cs="Times New Roman"/>
          <w:bCs/>
          <w:sz w:val="24"/>
          <w:szCs w:val="24"/>
        </w:rPr>
      </w:pPr>
    </w:p>
    <w:p w:rsidR="0062164E" w:rsidRPr="00B05407" w:rsidRDefault="0062164E" w:rsidP="0062164E">
      <w:pPr>
        <w:pStyle w:val="Listenabsatz"/>
        <w:numPr>
          <w:ilvl w:val="1"/>
          <w:numId w:val="17"/>
        </w:numPr>
        <w:autoSpaceDE w:val="0"/>
        <w:autoSpaceDN w:val="0"/>
        <w:adjustRightInd w:val="0"/>
        <w:spacing w:after="0" w:line="360" w:lineRule="auto"/>
        <w:ind w:hanging="792"/>
        <w:jc w:val="both"/>
        <w:rPr>
          <w:rFonts w:asciiTheme="minorHAnsi" w:hAnsiTheme="minorHAnsi" w:cs="Times New Roman"/>
          <w:bCs/>
          <w:sz w:val="24"/>
          <w:szCs w:val="24"/>
        </w:rPr>
      </w:pPr>
      <w:r w:rsidRPr="00B05407">
        <w:rPr>
          <w:rFonts w:asciiTheme="minorHAnsi" w:hAnsiTheme="minorHAnsi" w:cs="Times New Roman"/>
          <w:bCs/>
          <w:sz w:val="24"/>
          <w:szCs w:val="24"/>
        </w:rPr>
        <w:t>Each Party may invite the other to attend meetings relevant to the subjects referred to in Article 1 and the Annex to this Agreement, subject to applicable rules and procedures of the host Party. Relevant documentation shall be communicated to the invited Party and the invited Party shall be entitled to submit contributions to such meetings and participate in the discussions.</w:t>
      </w:r>
    </w:p>
    <w:p w:rsidR="0062164E" w:rsidRPr="00B05407" w:rsidRDefault="0062164E" w:rsidP="0062164E">
      <w:pPr>
        <w:autoSpaceDE w:val="0"/>
        <w:autoSpaceDN w:val="0"/>
        <w:adjustRightInd w:val="0"/>
        <w:spacing w:after="0" w:line="360" w:lineRule="auto"/>
        <w:jc w:val="both"/>
        <w:rPr>
          <w:rFonts w:asciiTheme="minorHAnsi" w:hAnsiTheme="minorHAnsi" w:cs="Times New Roman"/>
          <w:sz w:val="24"/>
          <w:szCs w:val="24"/>
        </w:rPr>
      </w:pPr>
    </w:p>
    <w:p w:rsidR="0062164E" w:rsidRPr="00B05407" w:rsidRDefault="0062164E" w:rsidP="0062164E">
      <w:pPr>
        <w:autoSpaceDE w:val="0"/>
        <w:autoSpaceDN w:val="0"/>
        <w:adjustRightInd w:val="0"/>
        <w:spacing w:after="0" w:line="360" w:lineRule="auto"/>
        <w:jc w:val="both"/>
        <w:rPr>
          <w:rFonts w:asciiTheme="minorHAnsi" w:hAnsiTheme="minorHAnsi" w:cs="Times New Roman"/>
          <w:sz w:val="24"/>
          <w:szCs w:val="24"/>
        </w:rPr>
      </w:pPr>
    </w:p>
    <w:p w:rsidR="0062164E" w:rsidRPr="00B05407" w:rsidRDefault="0062164E" w:rsidP="0062164E">
      <w:pPr>
        <w:pStyle w:val="HeadingArticle"/>
        <w:numPr>
          <w:ilvl w:val="0"/>
          <w:numId w:val="18"/>
        </w:numPr>
        <w:tabs>
          <w:tab w:val="left" w:pos="1560"/>
        </w:tabs>
        <w:rPr>
          <w:rFonts w:asciiTheme="minorHAnsi" w:hAnsiTheme="minorHAnsi"/>
        </w:rPr>
      </w:pPr>
      <w:r w:rsidRPr="00B05407">
        <w:rPr>
          <w:rFonts w:asciiTheme="minorHAnsi" w:hAnsiTheme="minorHAnsi"/>
        </w:rPr>
        <w:t>FINANCING</w:t>
      </w:r>
    </w:p>
    <w:p w:rsidR="0062164E" w:rsidRPr="00B05407" w:rsidRDefault="0062164E" w:rsidP="0062164E">
      <w:pPr>
        <w:autoSpaceDE w:val="0"/>
        <w:autoSpaceDN w:val="0"/>
        <w:adjustRightInd w:val="0"/>
        <w:spacing w:after="0" w:line="360" w:lineRule="auto"/>
        <w:jc w:val="both"/>
        <w:rPr>
          <w:rFonts w:asciiTheme="minorHAnsi" w:hAnsiTheme="minorHAnsi" w:cs="Times New Roman"/>
          <w:sz w:val="24"/>
          <w:szCs w:val="24"/>
        </w:rPr>
      </w:pPr>
    </w:p>
    <w:p w:rsidR="0062164E" w:rsidRPr="00B05407" w:rsidRDefault="0062164E" w:rsidP="0062164E">
      <w:pPr>
        <w:autoSpaceDE w:val="0"/>
        <w:autoSpaceDN w:val="0"/>
        <w:adjustRightInd w:val="0"/>
        <w:spacing w:after="0" w:line="360" w:lineRule="auto"/>
        <w:jc w:val="both"/>
        <w:rPr>
          <w:rFonts w:asciiTheme="minorHAnsi" w:hAnsiTheme="minorHAnsi" w:cs="Times New Roman"/>
          <w:sz w:val="24"/>
          <w:szCs w:val="24"/>
        </w:rPr>
      </w:pPr>
      <w:r w:rsidRPr="00B05407">
        <w:rPr>
          <w:rFonts w:asciiTheme="minorHAnsi" w:hAnsiTheme="minorHAnsi" w:cs="Times New Roman"/>
          <w:sz w:val="24"/>
          <w:szCs w:val="24"/>
        </w:rPr>
        <w:t xml:space="preserve">Unless otherwise provided in an implementing arrangement, each </w:t>
      </w:r>
      <w:r w:rsidRPr="00B05407">
        <w:rPr>
          <w:rFonts w:asciiTheme="minorHAnsi" w:hAnsiTheme="minorHAnsi" w:cs="Times New Roman"/>
          <w:bCs/>
          <w:sz w:val="24"/>
          <w:szCs w:val="24"/>
        </w:rPr>
        <w:t xml:space="preserve">Party </w:t>
      </w:r>
      <w:r w:rsidRPr="00B05407">
        <w:rPr>
          <w:rFonts w:asciiTheme="minorHAnsi" w:hAnsiTheme="minorHAnsi" w:cs="Times New Roman"/>
          <w:sz w:val="24"/>
          <w:szCs w:val="24"/>
        </w:rPr>
        <w:t>shall bear the cost of its own activities necessary for the implementation of this Agreement, in accordance with its own rules and procedures and without exchange of funds.</w:t>
      </w:r>
    </w:p>
    <w:p w:rsidR="0062164E" w:rsidRPr="00B05407" w:rsidRDefault="0062164E" w:rsidP="0062164E">
      <w:pPr>
        <w:autoSpaceDE w:val="0"/>
        <w:autoSpaceDN w:val="0"/>
        <w:adjustRightInd w:val="0"/>
        <w:spacing w:after="0" w:line="360" w:lineRule="auto"/>
        <w:jc w:val="both"/>
        <w:rPr>
          <w:rFonts w:asciiTheme="minorHAnsi" w:hAnsiTheme="minorHAnsi" w:cs="Times New Roman"/>
          <w:b/>
          <w:sz w:val="24"/>
          <w:szCs w:val="24"/>
        </w:rPr>
      </w:pPr>
    </w:p>
    <w:p w:rsidR="0062164E" w:rsidRPr="00B05407" w:rsidRDefault="0062164E" w:rsidP="0062164E">
      <w:pPr>
        <w:autoSpaceDE w:val="0"/>
        <w:autoSpaceDN w:val="0"/>
        <w:adjustRightInd w:val="0"/>
        <w:spacing w:after="0" w:line="360" w:lineRule="auto"/>
        <w:jc w:val="both"/>
        <w:rPr>
          <w:rFonts w:asciiTheme="minorHAnsi" w:hAnsiTheme="minorHAnsi" w:cs="Times New Roman"/>
          <w:b/>
          <w:sz w:val="24"/>
          <w:szCs w:val="24"/>
        </w:rPr>
      </w:pPr>
    </w:p>
    <w:p w:rsidR="0062164E" w:rsidRPr="00B05407" w:rsidRDefault="0062164E" w:rsidP="0062164E">
      <w:pPr>
        <w:pStyle w:val="HeadingArticle"/>
        <w:numPr>
          <w:ilvl w:val="0"/>
          <w:numId w:val="18"/>
        </w:numPr>
        <w:tabs>
          <w:tab w:val="left" w:pos="1560"/>
        </w:tabs>
        <w:rPr>
          <w:rFonts w:asciiTheme="minorHAnsi" w:hAnsiTheme="minorHAnsi"/>
        </w:rPr>
      </w:pPr>
      <w:r w:rsidRPr="00B05407">
        <w:rPr>
          <w:rFonts w:asciiTheme="minorHAnsi" w:hAnsiTheme="minorHAnsi"/>
        </w:rPr>
        <w:t>EXCHANGE OF INFORMATION AND DATA</w:t>
      </w:r>
    </w:p>
    <w:p w:rsidR="0062164E" w:rsidRPr="00B05407" w:rsidRDefault="0062164E" w:rsidP="0062164E">
      <w:pPr>
        <w:autoSpaceDE w:val="0"/>
        <w:autoSpaceDN w:val="0"/>
        <w:adjustRightInd w:val="0"/>
        <w:spacing w:after="0" w:line="360" w:lineRule="auto"/>
        <w:jc w:val="both"/>
        <w:rPr>
          <w:rFonts w:asciiTheme="minorHAnsi" w:hAnsiTheme="minorHAnsi" w:cs="Times New Roman"/>
          <w:b/>
          <w:bCs/>
          <w:sz w:val="24"/>
          <w:szCs w:val="24"/>
        </w:rPr>
      </w:pPr>
    </w:p>
    <w:p w:rsidR="0062164E" w:rsidRPr="00B05407" w:rsidRDefault="0062164E" w:rsidP="0062164E">
      <w:pPr>
        <w:pStyle w:val="Listenabsatz"/>
        <w:numPr>
          <w:ilvl w:val="1"/>
          <w:numId w:val="17"/>
        </w:numPr>
        <w:autoSpaceDE w:val="0"/>
        <w:autoSpaceDN w:val="0"/>
        <w:adjustRightInd w:val="0"/>
        <w:spacing w:after="0" w:line="360" w:lineRule="auto"/>
        <w:ind w:hanging="792"/>
        <w:jc w:val="both"/>
        <w:rPr>
          <w:rFonts w:asciiTheme="minorHAnsi" w:hAnsiTheme="minorHAnsi" w:cs="Times New Roman"/>
          <w:bCs/>
          <w:sz w:val="24"/>
          <w:szCs w:val="24"/>
        </w:rPr>
      </w:pPr>
      <w:r w:rsidRPr="00B05407">
        <w:rPr>
          <w:rFonts w:asciiTheme="minorHAnsi" w:hAnsiTheme="minorHAnsi" w:cs="Times New Roman"/>
          <w:bCs/>
          <w:sz w:val="24"/>
          <w:szCs w:val="24"/>
        </w:rPr>
        <w:t>The Parties shall inform each other of activities relevant to co-operation on the subjects referred to in Article 1 and the Annex to this Agreement, subject to the rules and procedures of each Party. Relevant documentation shall be communicated to the other Party, to the extent possible, and each Party shall be entitled to submit contributions and participate in discussions.</w:t>
      </w:r>
    </w:p>
    <w:p w:rsidR="0062164E" w:rsidRPr="00B05407" w:rsidRDefault="0062164E" w:rsidP="0062164E">
      <w:pPr>
        <w:autoSpaceDE w:val="0"/>
        <w:autoSpaceDN w:val="0"/>
        <w:adjustRightInd w:val="0"/>
        <w:spacing w:after="0" w:line="360" w:lineRule="auto"/>
        <w:ind w:left="851" w:hanging="851"/>
        <w:jc w:val="both"/>
        <w:rPr>
          <w:rFonts w:asciiTheme="minorHAnsi" w:hAnsiTheme="minorHAnsi" w:cs="Times New Roman"/>
          <w:bCs/>
          <w:sz w:val="24"/>
          <w:szCs w:val="24"/>
        </w:rPr>
      </w:pPr>
    </w:p>
    <w:p w:rsidR="0062164E" w:rsidRPr="00B05407" w:rsidRDefault="0062164E" w:rsidP="0062164E">
      <w:pPr>
        <w:pStyle w:val="Listenabsatz"/>
        <w:numPr>
          <w:ilvl w:val="1"/>
          <w:numId w:val="17"/>
        </w:numPr>
        <w:autoSpaceDE w:val="0"/>
        <w:autoSpaceDN w:val="0"/>
        <w:adjustRightInd w:val="0"/>
        <w:spacing w:after="0" w:line="360" w:lineRule="auto"/>
        <w:ind w:hanging="792"/>
        <w:jc w:val="both"/>
        <w:rPr>
          <w:rFonts w:asciiTheme="minorHAnsi" w:hAnsiTheme="minorHAnsi" w:cs="Times New Roman"/>
          <w:bCs/>
          <w:sz w:val="24"/>
          <w:szCs w:val="24"/>
        </w:rPr>
      </w:pPr>
      <w:r w:rsidRPr="00B05407">
        <w:rPr>
          <w:rFonts w:asciiTheme="minorHAnsi" w:hAnsiTheme="minorHAnsi" w:cs="Times New Roman"/>
          <w:bCs/>
          <w:sz w:val="24"/>
          <w:szCs w:val="24"/>
        </w:rPr>
        <w:t>Each Party shall provide the other Party with all information necessary for the co-operation and the implementation of the activities agreed under this Agreement, subject to its own rules and procedures on exchange of information.</w:t>
      </w:r>
    </w:p>
    <w:p w:rsidR="0062164E" w:rsidRPr="00B05407" w:rsidRDefault="0062164E" w:rsidP="0062164E">
      <w:pPr>
        <w:autoSpaceDE w:val="0"/>
        <w:autoSpaceDN w:val="0"/>
        <w:adjustRightInd w:val="0"/>
        <w:spacing w:after="0" w:line="360" w:lineRule="auto"/>
        <w:ind w:left="851" w:hanging="851"/>
        <w:jc w:val="both"/>
        <w:rPr>
          <w:rFonts w:asciiTheme="minorHAnsi" w:hAnsiTheme="minorHAnsi" w:cs="Times New Roman"/>
          <w:bCs/>
          <w:sz w:val="24"/>
          <w:szCs w:val="24"/>
        </w:rPr>
      </w:pPr>
    </w:p>
    <w:p w:rsidR="0062164E" w:rsidRPr="00B05407" w:rsidRDefault="0062164E" w:rsidP="0062164E">
      <w:pPr>
        <w:pStyle w:val="Listenabsatz"/>
        <w:numPr>
          <w:ilvl w:val="1"/>
          <w:numId w:val="17"/>
        </w:numPr>
        <w:autoSpaceDE w:val="0"/>
        <w:autoSpaceDN w:val="0"/>
        <w:adjustRightInd w:val="0"/>
        <w:spacing w:after="0" w:line="360" w:lineRule="auto"/>
        <w:ind w:hanging="792"/>
        <w:jc w:val="both"/>
        <w:rPr>
          <w:rFonts w:asciiTheme="minorHAnsi" w:hAnsiTheme="minorHAnsi" w:cs="Times New Roman"/>
          <w:bCs/>
          <w:sz w:val="24"/>
          <w:szCs w:val="24"/>
        </w:rPr>
      </w:pPr>
      <w:r w:rsidRPr="00B05407">
        <w:rPr>
          <w:rFonts w:asciiTheme="minorHAnsi" w:hAnsiTheme="minorHAnsi" w:cs="Times New Roman"/>
          <w:bCs/>
          <w:sz w:val="24"/>
          <w:szCs w:val="24"/>
        </w:rPr>
        <w:t>The disclosing Party may decide that disclosure to any person permitted under this Agreement shall be subject to a duty of confidentiality. Disclosure shall extend so far only as may be necessary for the purposes of the Agreement.</w:t>
      </w:r>
    </w:p>
    <w:p w:rsidR="0062164E" w:rsidRPr="00B05407" w:rsidRDefault="0062164E" w:rsidP="0062164E">
      <w:pPr>
        <w:pStyle w:val="Listenabsatz"/>
        <w:rPr>
          <w:rFonts w:asciiTheme="minorHAnsi" w:hAnsiTheme="minorHAnsi" w:cs="Times New Roman"/>
          <w:bCs/>
          <w:sz w:val="24"/>
          <w:szCs w:val="24"/>
        </w:rPr>
      </w:pPr>
    </w:p>
    <w:p w:rsidR="0062164E" w:rsidRPr="00B05407" w:rsidRDefault="0062164E" w:rsidP="0062164E">
      <w:pPr>
        <w:pStyle w:val="Listenabsatz"/>
        <w:numPr>
          <w:ilvl w:val="1"/>
          <w:numId w:val="17"/>
        </w:numPr>
        <w:autoSpaceDE w:val="0"/>
        <w:autoSpaceDN w:val="0"/>
        <w:adjustRightInd w:val="0"/>
        <w:spacing w:after="0" w:line="360" w:lineRule="auto"/>
        <w:jc w:val="both"/>
        <w:rPr>
          <w:rFonts w:asciiTheme="minorHAnsi" w:hAnsiTheme="minorHAnsi" w:cs="Times New Roman"/>
          <w:bCs/>
          <w:sz w:val="24"/>
          <w:szCs w:val="24"/>
        </w:rPr>
      </w:pPr>
      <w:r w:rsidRPr="00B05407">
        <w:rPr>
          <w:rFonts w:asciiTheme="minorHAnsi" w:hAnsiTheme="minorHAnsi" w:cs="Times New Roman"/>
          <w:bCs/>
          <w:sz w:val="24"/>
          <w:szCs w:val="24"/>
        </w:rPr>
        <w:t>The receiving Party shall use the information and data within the limits provided for by the disclosing Party.</w:t>
      </w:r>
    </w:p>
    <w:p w:rsidR="0062164E" w:rsidRPr="00B05407" w:rsidRDefault="0062164E" w:rsidP="0062164E">
      <w:pPr>
        <w:pStyle w:val="Listenabsatz"/>
        <w:autoSpaceDE w:val="0"/>
        <w:autoSpaceDN w:val="0"/>
        <w:adjustRightInd w:val="0"/>
        <w:spacing w:after="0" w:line="360" w:lineRule="auto"/>
        <w:ind w:left="792"/>
        <w:jc w:val="both"/>
        <w:rPr>
          <w:rFonts w:asciiTheme="minorHAnsi" w:hAnsiTheme="minorHAnsi" w:cs="Times New Roman"/>
          <w:bCs/>
          <w:sz w:val="24"/>
          <w:szCs w:val="24"/>
        </w:rPr>
      </w:pPr>
    </w:p>
    <w:p w:rsidR="0062164E" w:rsidRPr="00B05407" w:rsidRDefault="0062164E" w:rsidP="0062164E">
      <w:pPr>
        <w:pStyle w:val="Listenabsatz"/>
        <w:numPr>
          <w:ilvl w:val="1"/>
          <w:numId w:val="17"/>
        </w:numPr>
        <w:autoSpaceDE w:val="0"/>
        <w:autoSpaceDN w:val="0"/>
        <w:adjustRightInd w:val="0"/>
        <w:spacing w:after="0" w:line="360" w:lineRule="auto"/>
        <w:ind w:hanging="792"/>
        <w:jc w:val="both"/>
        <w:rPr>
          <w:rFonts w:asciiTheme="minorHAnsi" w:hAnsiTheme="minorHAnsi" w:cs="Times New Roman"/>
          <w:bCs/>
          <w:sz w:val="24"/>
          <w:szCs w:val="24"/>
        </w:rPr>
      </w:pPr>
      <w:r w:rsidRPr="00B05407">
        <w:rPr>
          <w:rFonts w:asciiTheme="minorHAnsi" w:hAnsiTheme="minorHAnsi" w:cs="Times New Roman"/>
          <w:bCs/>
          <w:sz w:val="24"/>
          <w:szCs w:val="24"/>
        </w:rPr>
        <w:t>Unless otherwise provided in the implementing arrangement, confidentiality obligations shall continue to be in force following expiration or termination of this Agreement.</w:t>
      </w:r>
    </w:p>
    <w:p w:rsidR="0062164E" w:rsidRPr="00B05407" w:rsidRDefault="0062164E" w:rsidP="0062164E">
      <w:pPr>
        <w:autoSpaceDE w:val="0"/>
        <w:autoSpaceDN w:val="0"/>
        <w:adjustRightInd w:val="0"/>
        <w:spacing w:after="0" w:line="360" w:lineRule="auto"/>
        <w:ind w:left="720" w:hanging="720"/>
        <w:jc w:val="both"/>
        <w:rPr>
          <w:rFonts w:asciiTheme="minorHAnsi" w:hAnsiTheme="minorHAnsi" w:cs="Times New Roman"/>
          <w:bCs/>
          <w:sz w:val="24"/>
          <w:szCs w:val="24"/>
        </w:rPr>
      </w:pPr>
    </w:p>
    <w:p w:rsidR="0062164E" w:rsidRPr="00B05407" w:rsidRDefault="0062164E" w:rsidP="0062164E">
      <w:pPr>
        <w:pStyle w:val="Listenabsatz"/>
        <w:numPr>
          <w:ilvl w:val="0"/>
          <w:numId w:val="18"/>
        </w:numPr>
        <w:autoSpaceDE w:val="0"/>
        <w:autoSpaceDN w:val="0"/>
        <w:adjustRightInd w:val="0"/>
        <w:spacing w:after="0" w:line="360" w:lineRule="auto"/>
        <w:jc w:val="both"/>
        <w:rPr>
          <w:rFonts w:asciiTheme="minorHAnsi" w:hAnsiTheme="minorHAnsi" w:cs="Times New Roman"/>
          <w:b/>
          <w:bCs/>
          <w:sz w:val="24"/>
          <w:szCs w:val="24"/>
        </w:rPr>
      </w:pPr>
      <w:r w:rsidRPr="00B05407">
        <w:rPr>
          <w:rFonts w:asciiTheme="minorHAnsi" w:hAnsiTheme="minorHAnsi" w:cs="Times New Roman"/>
          <w:b/>
          <w:bCs/>
          <w:sz w:val="24"/>
          <w:szCs w:val="24"/>
        </w:rPr>
        <w:t>EXPORT CONTROL</w:t>
      </w:r>
    </w:p>
    <w:p w:rsidR="0062164E" w:rsidRPr="00B05407" w:rsidRDefault="0062164E" w:rsidP="0062164E">
      <w:pPr>
        <w:autoSpaceDE w:val="0"/>
        <w:autoSpaceDN w:val="0"/>
        <w:adjustRightInd w:val="0"/>
        <w:spacing w:after="0" w:line="360" w:lineRule="auto"/>
        <w:jc w:val="both"/>
        <w:rPr>
          <w:rFonts w:asciiTheme="minorHAnsi" w:hAnsiTheme="minorHAnsi" w:cs="Times New Roman"/>
          <w:bCs/>
          <w:sz w:val="24"/>
          <w:szCs w:val="24"/>
        </w:rPr>
      </w:pPr>
    </w:p>
    <w:p w:rsidR="0062164E" w:rsidRPr="00B05407" w:rsidRDefault="0062164E" w:rsidP="0062164E">
      <w:pPr>
        <w:autoSpaceDE w:val="0"/>
        <w:autoSpaceDN w:val="0"/>
        <w:adjustRightInd w:val="0"/>
        <w:spacing w:after="0" w:line="360" w:lineRule="auto"/>
        <w:jc w:val="both"/>
        <w:rPr>
          <w:rFonts w:asciiTheme="minorHAnsi" w:hAnsiTheme="minorHAnsi" w:cs="Times New Roman"/>
          <w:bCs/>
          <w:sz w:val="24"/>
          <w:szCs w:val="24"/>
        </w:rPr>
      </w:pPr>
      <w:r w:rsidRPr="00B05407">
        <w:rPr>
          <w:rFonts w:asciiTheme="minorHAnsi" w:hAnsiTheme="minorHAnsi" w:cs="Times New Roman"/>
          <w:bCs/>
          <w:sz w:val="24"/>
          <w:szCs w:val="24"/>
        </w:rPr>
        <w:lastRenderedPageBreak/>
        <w:t>All activities under this Agreement will be conducted in compliance with applicable export control and economic sanction laws and regulations. Each Party shall not knowingly transfer any export controlled item, data, or services, including the transfer to persons employed by, associated with, or under contract to the Party or the Party’s Subcontractors, without the authority of an export license, agreement, or applicable exemption or exception. To the extent that information disclosed is export controlled the Parties agree to comply with all regulations regarding its use, disclosure, export, and transfer.</w:t>
      </w:r>
    </w:p>
    <w:p w:rsidR="0062164E" w:rsidRPr="00B05407" w:rsidRDefault="0062164E" w:rsidP="0062164E">
      <w:pPr>
        <w:autoSpaceDE w:val="0"/>
        <w:autoSpaceDN w:val="0"/>
        <w:adjustRightInd w:val="0"/>
        <w:spacing w:after="0" w:line="360" w:lineRule="auto"/>
        <w:ind w:left="720" w:hanging="720"/>
        <w:jc w:val="both"/>
        <w:rPr>
          <w:rFonts w:asciiTheme="minorHAnsi" w:hAnsiTheme="minorHAnsi" w:cs="Times New Roman"/>
          <w:bCs/>
          <w:sz w:val="24"/>
          <w:szCs w:val="24"/>
        </w:rPr>
      </w:pPr>
    </w:p>
    <w:p w:rsidR="0062164E" w:rsidRPr="00B05407" w:rsidRDefault="0062164E" w:rsidP="0062164E">
      <w:pPr>
        <w:pStyle w:val="HeadingArticle"/>
        <w:numPr>
          <w:ilvl w:val="0"/>
          <w:numId w:val="18"/>
        </w:numPr>
        <w:tabs>
          <w:tab w:val="left" w:pos="1560"/>
        </w:tabs>
        <w:rPr>
          <w:rFonts w:asciiTheme="minorHAnsi" w:hAnsiTheme="minorHAnsi"/>
        </w:rPr>
      </w:pPr>
      <w:r w:rsidRPr="00B05407">
        <w:rPr>
          <w:rFonts w:asciiTheme="minorHAnsi" w:hAnsiTheme="minorHAnsi"/>
        </w:rPr>
        <w:t>EXCHANGE OF PERSONNEL AND EQUIPMENT</w:t>
      </w:r>
    </w:p>
    <w:p w:rsidR="0062164E" w:rsidRPr="00B05407" w:rsidRDefault="0062164E" w:rsidP="0062164E">
      <w:pPr>
        <w:autoSpaceDE w:val="0"/>
        <w:autoSpaceDN w:val="0"/>
        <w:adjustRightInd w:val="0"/>
        <w:spacing w:after="0" w:line="360" w:lineRule="auto"/>
        <w:jc w:val="both"/>
        <w:rPr>
          <w:rFonts w:asciiTheme="minorHAnsi" w:hAnsiTheme="minorHAnsi" w:cs="Times New Roman"/>
          <w:sz w:val="24"/>
          <w:szCs w:val="24"/>
        </w:rPr>
      </w:pPr>
    </w:p>
    <w:p w:rsidR="0062164E" w:rsidRPr="00B05407" w:rsidRDefault="0062164E" w:rsidP="0062164E">
      <w:pPr>
        <w:pStyle w:val="Listenabsatz"/>
        <w:numPr>
          <w:ilvl w:val="1"/>
          <w:numId w:val="17"/>
        </w:numPr>
        <w:autoSpaceDE w:val="0"/>
        <w:autoSpaceDN w:val="0"/>
        <w:adjustRightInd w:val="0"/>
        <w:spacing w:after="0" w:line="360" w:lineRule="auto"/>
        <w:ind w:hanging="792"/>
        <w:jc w:val="both"/>
        <w:rPr>
          <w:rFonts w:asciiTheme="minorHAnsi" w:hAnsiTheme="minorHAnsi" w:cs="Times New Roman"/>
          <w:bCs/>
          <w:sz w:val="24"/>
          <w:szCs w:val="24"/>
        </w:rPr>
      </w:pPr>
      <w:r w:rsidRPr="00B05407">
        <w:rPr>
          <w:rFonts w:asciiTheme="minorHAnsi" w:hAnsiTheme="minorHAnsi" w:cs="Times New Roman"/>
          <w:bCs/>
          <w:sz w:val="24"/>
          <w:szCs w:val="24"/>
        </w:rPr>
        <w:t xml:space="preserve">Under this Agreement and as identified in the implementing arrangement, an exchange of personnel maybe undertaken as required to pursue the co-operative activities referred to in Article 1. Subject, and without prejudice, to the rules and regulations governing such personnel’s presence at the host Party, including in particular the rules of conduct and safety, such personnel shall remain under the authority of the employing Party and shall accomplish work as defined by the Parties in the implementing arrangements. </w:t>
      </w:r>
    </w:p>
    <w:p w:rsidR="0062164E" w:rsidRPr="00B05407" w:rsidRDefault="0062164E" w:rsidP="0062164E">
      <w:pPr>
        <w:pStyle w:val="Listenabsatz"/>
        <w:autoSpaceDE w:val="0"/>
        <w:autoSpaceDN w:val="0"/>
        <w:adjustRightInd w:val="0"/>
        <w:spacing w:after="0" w:line="360" w:lineRule="auto"/>
        <w:ind w:left="792"/>
        <w:jc w:val="both"/>
        <w:rPr>
          <w:rFonts w:asciiTheme="minorHAnsi" w:hAnsiTheme="minorHAnsi" w:cs="Times New Roman"/>
          <w:bCs/>
          <w:sz w:val="24"/>
          <w:szCs w:val="24"/>
        </w:rPr>
      </w:pPr>
    </w:p>
    <w:p w:rsidR="0062164E" w:rsidRPr="00B05407" w:rsidRDefault="0062164E" w:rsidP="0062164E">
      <w:pPr>
        <w:pStyle w:val="Listenabsatz"/>
        <w:numPr>
          <w:ilvl w:val="1"/>
          <w:numId w:val="17"/>
        </w:numPr>
        <w:autoSpaceDE w:val="0"/>
        <w:autoSpaceDN w:val="0"/>
        <w:adjustRightInd w:val="0"/>
        <w:spacing w:after="0" w:line="360" w:lineRule="auto"/>
        <w:ind w:hanging="792"/>
        <w:jc w:val="both"/>
        <w:rPr>
          <w:rFonts w:asciiTheme="minorHAnsi" w:hAnsiTheme="minorHAnsi" w:cs="Times New Roman"/>
          <w:bCs/>
          <w:sz w:val="24"/>
          <w:szCs w:val="24"/>
        </w:rPr>
      </w:pPr>
      <w:r w:rsidRPr="00B05407">
        <w:rPr>
          <w:rFonts w:asciiTheme="minorHAnsi" w:hAnsiTheme="minorHAnsi" w:cs="Times New Roman"/>
          <w:bCs/>
          <w:sz w:val="24"/>
          <w:szCs w:val="24"/>
        </w:rPr>
        <w:t>The exchange of personnel shall not change their administrative status towards their employer, including but not limited to the latter’s obligations concerning the provision of health and social insurance. Each Party shall hold the other Party free and harmless from liability related to the subject matter of this Article in respect of its personnel.</w:t>
      </w:r>
    </w:p>
    <w:p w:rsidR="0062164E" w:rsidRPr="00B05407" w:rsidRDefault="0062164E" w:rsidP="0062164E">
      <w:pPr>
        <w:pStyle w:val="Listenabsatz"/>
        <w:autoSpaceDE w:val="0"/>
        <w:autoSpaceDN w:val="0"/>
        <w:adjustRightInd w:val="0"/>
        <w:spacing w:after="0" w:line="360" w:lineRule="auto"/>
        <w:ind w:left="792"/>
        <w:jc w:val="both"/>
        <w:rPr>
          <w:rFonts w:asciiTheme="minorHAnsi" w:hAnsiTheme="minorHAnsi" w:cs="Times New Roman"/>
          <w:bCs/>
          <w:sz w:val="24"/>
          <w:szCs w:val="24"/>
        </w:rPr>
      </w:pPr>
    </w:p>
    <w:p w:rsidR="0062164E" w:rsidRPr="00B05407" w:rsidRDefault="0062164E" w:rsidP="0062164E">
      <w:pPr>
        <w:pStyle w:val="Listenabsatz"/>
        <w:numPr>
          <w:ilvl w:val="1"/>
          <w:numId w:val="17"/>
        </w:numPr>
        <w:autoSpaceDE w:val="0"/>
        <w:autoSpaceDN w:val="0"/>
        <w:adjustRightInd w:val="0"/>
        <w:spacing w:after="0" w:line="360" w:lineRule="auto"/>
        <w:ind w:hanging="792"/>
        <w:jc w:val="both"/>
        <w:rPr>
          <w:rFonts w:asciiTheme="minorHAnsi" w:hAnsiTheme="minorHAnsi" w:cs="Times New Roman"/>
          <w:bCs/>
          <w:sz w:val="24"/>
          <w:szCs w:val="24"/>
        </w:rPr>
      </w:pPr>
      <w:r w:rsidRPr="00B05407">
        <w:rPr>
          <w:rFonts w:asciiTheme="minorHAnsi" w:hAnsiTheme="minorHAnsi" w:cs="Times New Roman"/>
          <w:bCs/>
          <w:sz w:val="24"/>
          <w:szCs w:val="24"/>
        </w:rPr>
        <w:t>Any equipment or other item contributed by a Party under this Agreement shall conform to the rules and procedures in force at the host Party where it will be installed and operated.</w:t>
      </w:r>
    </w:p>
    <w:p w:rsidR="0062164E" w:rsidRPr="00B05407" w:rsidRDefault="0062164E" w:rsidP="0062164E">
      <w:pPr>
        <w:autoSpaceDE w:val="0"/>
        <w:autoSpaceDN w:val="0"/>
        <w:adjustRightInd w:val="0"/>
        <w:spacing w:after="0" w:line="360" w:lineRule="auto"/>
        <w:jc w:val="both"/>
        <w:rPr>
          <w:rFonts w:asciiTheme="minorHAnsi" w:hAnsiTheme="minorHAnsi" w:cs="Times New Roman"/>
          <w:sz w:val="24"/>
          <w:szCs w:val="24"/>
        </w:rPr>
      </w:pPr>
    </w:p>
    <w:p w:rsidR="0062164E" w:rsidRPr="00B05407" w:rsidRDefault="0062164E" w:rsidP="0062164E">
      <w:pPr>
        <w:autoSpaceDE w:val="0"/>
        <w:autoSpaceDN w:val="0"/>
        <w:adjustRightInd w:val="0"/>
        <w:spacing w:after="0" w:line="360" w:lineRule="auto"/>
        <w:jc w:val="both"/>
        <w:rPr>
          <w:rFonts w:asciiTheme="minorHAnsi" w:hAnsiTheme="minorHAnsi" w:cs="Times New Roman"/>
          <w:sz w:val="24"/>
          <w:szCs w:val="24"/>
        </w:rPr>
      </w:pPr>
    </w:p>
    <w:p w:rsidR="0062164E" w:rsidRPr="00B05407" w:rsidRDefault="0062164E" w:rsidP="0062164E">
      <w:pPr>
        <w:autoSpaceDE w:val="0"/>
        <w:autoSpaceDN w:val="0"/>
        <w:adjustRightInd w:val="0"/>
        <w:spacing w:after="0" w:line="360" w:lineRule="auto"/>
        <w:jc w:val="both"/>
        <w:rPr>
          <w:rFonts w:asciiTheme="minorHAnsi" w:hAnsiTheme="minorHAnsi" w:cs="Times New Roman"/>
          <w:sz w:val="24"/>
          <w:szCs w:val="24"/>
        </w:rPr>
      </w:pPr>
    </w:p>
    <w:p w:rsidR="0062164E" w:rsidRPr="00B05407" w:rsidRDefault="0062164E" w:rsidP="0062164E">
      <w:pPr>
        <w:pStyle w:val="HeadingArticle"/>
        <w:numPr>
          <w:ilvl w:val="0"/>
          <w:numId w:val="18"/>
        </w:numPr>
        <w:tabs>
          <w:tab w:val="left" w:pos="1560"/>
        </w:tabs>
        <w:rPr>
          <w:rFonts w:asciiTheme="minorHAnsi" w:hAnsiTheme="minorHAnsi"/>
        </w:rPr>
      </w:pPr>
      <w:r w:rsidRPr="00B05407">
        <w:rPr>
          <w:rFonts w:asciiTheme="minorHAnsi" w:hAnsiTheme="minorHAnsi"/>
        </w:rPr>
        <w:t>INTELLECTUAL PROPERTY</w:t>
      </w:r>
    </w:p>
    <w:p w:rsidR="0062164E" w:rsidRPr="00B05407" w:rsidRDefault="0062164E" w:rsidP="0062164E">
      <w:pPr>
        <w:autoSpaceDE w:val="0"/>
        <w:autoSpaceDN w:val="0"/>
        <w:adjustRightInd w:val="0"/>
        <w:spacing w:after="0" w:line="360" w:lineRule="auto"/>
        <w:jc w:val="both"/>
        <w:rPr>
          <w:rFonts w:asciiTheme="minorHAnsi" w:hAnsiTheme="minorHAnsi" w:cs="Times New Roman"/>
          <w:b/>
          <w:bCs/>
          <w:sz w:val="24"/>
          <w:szCs w:val="24"/>
        </w:rPr>
      </w:pPr>
    </w:p>
    <w:p w:rsidR="0062164E" w:rsidRPr="00B05407" w:rsidRDefault="0062164E" w:rsidP="0062164E">
      <w:pPr>
        <w:pStyle w:val="Listenabsatz"/>
        <w:numPr>
          <w:ilvl w:val="1"/>
          <w:numId w:val="17"/>
        </w:numPr>
        <w:autoSpaceDE w:val="0"/>
        <w:autoSpaceDN w:val="0"/>
        <w:adjustRightInd w:val="0"/>
        <w:spacing w:after="0" w:line="360" w:lineRule="auto"/>
        <w:ind w:hanging="792"/>
        <w:jc w:val="both"/>
        <w:rPr>
          <w:rFonts w:asciiTheme="minorHAnsi" w:hAnsiTheme="minorHAnsi" w:cs="Times New Roman"/>
          <w:bCs/>
          <w:sz w:val="24"/>
          <w:szCs w:val="24"/>
        </w:rPr>
      </w:pPr>
      <w:r w:rsidRPr="00B05407">
        <w:rPr>
          <w:rFonts w:asciiTheme="minorHAnsi" w:hAnsiTheme="minorHAnsi" w:cs="Times New Roman"/>
          <w:bCs/>
          <w:sz w:val="24"/>
          <w:szCs w:val="24"/>
        </w:rPr>
        <w:t>The disclosure of information, in the widest sense, under this Agreement does not create any proprietary right for the other Party.</w:t>
      </w:r>
    </w:p>
    <w:p w:rsidR="0062164E" w:rsidRPr="00B05407" w:rsidRDefault="0062164E" w:rsidP="0062164E">
      <w:pPr>
        <w:pStyle w:val="Listenabsatz"/>
        <w:autoSpaceDE w:val="0"/>
        <w:autoSpaceDN w:val="0"/>
        <w:adjustRightInd w:val="0"/>
        <w:spacing w:after="0" w:line="360" w:lineRule="auto"/>
        <w:ind w:left="792"/>
        <w:jc w:val="both"/>
        <w:rPr>
          <w:rFonts w:asciiTheme="minorHAnsi" w:hAnsiTheme="minorHAnsi" w:cs="Times New Roman"/>
          <w:bCs/>
          <w:sz w:val="24"/>
          <w:szCs w:val="24"/>
        </w:rPr>
      </w:pPr>
    </w:p>
    <w:p w:rsidR="0062164E" w:rsidRPr="00B05407" w:rsidRDefault="0062164E" w:rsidP="0062164E">
      <w:pPr>
        <w:pStyle w:val="Listenabsatz"/>
        <w:numPr>
          <w:ilvl w:val="1"/>
          <w:numId w:val="17"/>
        </w:numPr>
        <w:autoSpaceDE w:val="0"/>
        <w:autoSpaceDN w:val="0"/>
        <w:adjustRightInd w:val="0"/>
        <w:spacing w:after="0" w:line="360" w:lineRule="auto"/>
        <w:ind w:hanging="792"/>
        <w:jc w:val="both"/>
        <w:rPr>
          <w:rFonts w:asciiTheme="minorHAnsi" w:hAnsiTheme="minorHAnsi" w:cs="Times New Roman"/>
          <w:bCs/>
          <w:sz w:val="24"/>
          <w:szCs w:val="24"/>
        </w:rPr>
      </w:pPr>
      <w:r w:rsidRPr="00B05407">
        <w:rPr>
          <w:rFonts w:asciiTheme="minorHAnsi" w:hAnsiTheme="minorHAnsi" w:cs="Times New Roman"/>
          <w:bCs/>
          <w:sz w:val="24"/>
          <w:szCs w:val="24"/>
        </w:rPr>
        <w:lastRenderedPageBreak/>
        <w:t>Title in intellectual property developed by a Party in the execution of this Agreement shall be vested in that Party, who shall grant the other Party a free, non-exclusive license for the use of such intellectual property in the execution of its scientific programme.</w:t>
      </w:r>
    </w:p>
    <w:p w:rsidR="0062164E" w:rsidRPr="00B05407" w:rsidRDefault="0062164E" w:rsidP="0062164E">
      <w:pPr>
        <w:pStyle w:val="Listenabsatz"/>
        <w:autoSpaceDE w:val="0"/>
        <w:autoSpaceDN w:val="0"/>
        <w:adjustRightInd w:val="0"/>
        <w:spacing w:after="0" w:line="360" w:lineRule="auto"/>
        <w:ind w:left="792"/>
        <w:jc w:val="both"/>
        <w:rPr>
          <w:rFonts w:asciiTheme="minorHAnsi" w:hAnsiTheme="minorHAnsi" w:cs="Times New Roman"/>
          <w:bCs/>
          <w:sz w:val="24"/>
          <w:szCs w:val="24"/>
        </w:rPr>
      </w:pPr>
    </w:p>
    <w:p w:rsidR="0062164E" w:rsidRPr="00B05407" w:rsidRDefault="0062164E" w:rsidP="0062164E">
      <w:pPr>
        <w:pStyle w:val="Listenabsatz"/>
        <w:numPr>
          <w:ilvl w:val="1"/>
          <w:numId w:val="17"/>
        </w:numPr>
        <w:autoSpaceDE w:val="0"/>
        <w:autoSpaceDN w:val="0"/>
        <w:adjustRightInd w:val="0"/>
        <w:spacing w:after="0" w:line="360" w:lineRule="auto"/>
        <w:ind w:hanging="792"/>
        <w:jc w:val="both"/>
        <w:rPr>
          <w:rFonts w:asciiTheme="minorHAnsi" w:hAnsiTheme="minorHAnsi" w:cs="Times New Roman"/>
          <w:bCs/>
          <w:sz w:val="24"/>
          <w:szCs w:val="24"/>
        </w:rPr>
      </w:pPr>
      <w:r w:rsidRPr="00B05407">
        <w:rPr>
          <w:rFonts w:asciiTheme="minorHAnsi" w:hAnsiTheme="minorHAnsi" w:cs="Times New Roman"/>
          <w:bCs/>
          <w:sz w:val="24"/>
          <w:szCs w:val="24"/>
        </w:rPr>
        <w:t>Where intellectual property is developed jointly by the Parties and title is therefore vested in them jointly, they shall grant each other a free, non-exclusive license for the use of such intellectual property in the execution of their scientific programmes.</w:t>
      </w:r>
    </w:p>
    <w:p w:rsidR="0062164E" w:rsidRPr="00B05407" w:rsidRDefault="0062164E" w:rsidP="0062164E">
      <w:pPr>
        <w:pStyle w:val="Listenabsatz"/>
        <w:autoSpaceDE w:val="0"/>
        <w:autoSpaceDN w:val="0"/>
        <w:adjustRightInd w:val="0"/>
        <w:spacing w:after="0" w:line="360" w:lineRule="auto"/>
        <w:ind w:left="792"/>
        <w:jc w:val="both"/>
        <w:rPr>
          <w:rFonts w:asciiTheme="minorHAnsi" w:hAnsiTheme="minorHAnsi" w:cs="Times New Roman"/>
          <w:bCs/>
          <w:sz w:val="24"/>
          <w:szCs w:val="24"/>
        </w:rPr>
      </w:pPr>
    </w:p>
    <w:p w:rsidR="0062164E" w:rsidRPr="00B05407" w:rsidRDefault="0062164E" w:rsidP="0062164E">
      <w:pPr>
        <w:pStyle w:val="Listenabsatz"/>
        <w:numPr>
          <w:ilvl w:val="1"/>
          <w:numId w:val="17"/>
        </w:numPr>
        <w:autoSpaceDE w:val="0"/>
        <w:autoSpaceDN w:val="0"/>
        <w:adjustRightInd w:val="0"/>
        <w:spacing w:after="0" w:line="360" w:lineRule="auto"/>
        <w:ind w:hanging="792"/>
        <w:jc w:val="both"/>
        <w:rPr>
          <w:rFonts w:asciiTheme="minorHAnsi" w:hAnsiTheme="minorHAnsi" w:cs="Times New Roman"/>
          <w:bCs/>
          <w:sz w:val="24"/>
          <w:szCs w:val="24"/>
        </w:rPr>
      </w:pPr>
      <w:r w:rsidRPr="00B05407">
        <w:rPr>
          <w:rFonts w:asciiTheme="minorHAnsi" w:hAnsiTheme="minorHAnsi" w:cs="Times New Roman"/>
          <w:bCs/>
          <w:sz w:val="24"/>
          <w:szCs w:val="24"/>
        </w:rPr>
        <w:t>The providing Party provides no warranty in respect of intellectual property made available by it under this Agreement, and the receiving Party shall hold it free and harmless that any liability arising from its use (including, as the case may be, its partners and contractors) of such intellectual property.</w:t>
      </w:r>
    </w:p>
    <w:p w:rsidR="0062164E" w:rsidRPr="00B05407" w:rsidRDefault="0062164E" w:rsidP="0062164E">
      <w:pPr>
        <w:pStyle w:val="Listenabsatz"/>
        <w:autoSpaceDE w:val="0"/>
        <w:autoSpaceDN w:val="0"/>
        <w:adjustRightInd w:val="0"/>
        <w:spacing w:after="0" w:line="360" w:lineRule="auto"/>
        <w:ind w:left="792"/>
        <w:jc w:val="both"/>
        <w:rPr>
          <w:rFonts w:asciiTheme="minorHAnsi" w:hAnsiTheme="minorHAnsi" w:cs="Times New Roman"/>
          <w:bCs/>
          <w:sz w:val="24"/>
          <w:szCs w:val="24"/>
        </w:rPr>
      </w:pPr>
    </w:p>
    <w:p w:rsidR="0062164E" w:rsidRPr="00B05407" w:rsidRDefault="0062164E" w:rsidP="0062164E">
      <w:pPr>
        <w:pStyle w:val="Listenabsatz"/>
        <w:numPr>
          <w:ilvl w:val="1"/>
          <w:numId w:val="17"/>
        </w:numPr>
        <w:autoSpaceDE w:val="0"/>
        <w:autoSpaceDN w:val="0"/>
        <w:adjustRightInd w:val="0"/>
        <w:spacing w:after="0" w:line="360" w:lineRule="auto"/>
        <w:ind w:hanging="792"/>
        <w:jc w:val="both"/>
        <w:rPr>
          <w:rFonts w:asciiTheme="minorHAnsi" w:hAnsiTheme="minorHAnsi" w:cs="Times New Roman"/>
          <w:bCs/>
          <w:sz w:val="24"/>
          <w:szCs w:val="24"/>
        </w:rPr>
      </w:pPr>
      <w:r w:rsidRPr="00B05407">
        <w:rPr>
          <w:rFonts w:asciiTheme="minorHAnsi" w:hAnsiTheme="minorHAnsi" w:cs="Times New Roman"/>
          <w:bCs/>
          <w:sz w:val="24"/>
          <w:szCs w:val="24"/>
        </w:rPr>
        <w:t>It is agreed that the use of intellectual property for commercial purposes by the receiving party is subject to prior written agreement by the providing Party.</w:t>
      </w:r>
    </w:p>
    <w:p w:rsidR="0062164E" w:rsidRPr="00B05407" w:rsidRDefault="0062164E" w:rsidP="0062164E">
      <w:pPr>
        <w:autoSpaceDE w:val="0"/>
        <w:autoSpaceDN w:val="0"/>
        <w:adjustRightInd w:val="0"/>
        <w:spacing w:after="0" w:line="360" w:lineRule="auto"/>
        <w:jc w:val="both"/>
        <w:rPr>
          <w:rFonts w:asciiTheme="minorHAnsi" w:hAnsiTheme="minorHAnsi" w:cs="Times New Roman"/>
          <w:sz w:val="24"/>
          <w:szCs w:val="24"/>
        </w:rPr>
      </w:pPr>
    </w:p>
    <w:p w:rsidR="0062164E" w:rsidRPr="00B05407" w:rsidRDefault="0062164E" w:rsidP="0062164E">
      <w:pPr>
        <w:autoSpaceDE w:val="0"/>
        <w:autoSpaceDN w:val="0"/>
        <w:adjustRightInd w:val="0"/>
        <w:spacing w:after="0" w:line="360" w:lineRule="auto"/>
        <w:jc w:val="both"/>
        <w:rPr>
          <w:rFonts w:asciiTheme="minorHAnsi" w:hAnsiTheme="minorHAnsi" w:cs="Times New Roman"/>
          <w:sz w:val="24"/>
          <w:szCs w:val="24"/>
        </w:rPr>
      </w:pPr>
    </w:p>
    <w:p w:rsidR="0062164E" w:rsidRPr="00B05407" w:rsidRDefault="0062164E" w:rsidP="0062164E">
      <w:pPr>
        <w:pStyle w:val="HeadingArticle"/>
        <w:numPr>
          <w:ilvl w:val="0"/>
          <w:numId w:val="18"/>
        </w:numPr>
        <w:tabs>
          <w:tab w:val="left" w:pos="1560"/>
        </w:tabs>
        <w:rPr>
          <w:rFonts w:asciiTheme="minorHAnsi" w:hAnsiTheme="minorHAnsi"/>
        </w:rPr>
      </w:pPr>
      <w:r w:rsidRPr="00B05407">
        <w:rPr>
          <w:rFonts w:asciiTheme="minorHAnsi" w:hAnsiTheme="minorHAnsi"/>
        </w:rPr>
        <w:t>PUBLICATIONS</w:t>
      </w:r>
    </w:p>
    <w:p w:rsidR="0062164E" w:rsidRPr="00B05407" w:rsidRDefault="0062164E" w:rsidP="0062164E">
      <w:pPr>
        <w:autoSpaceDE w:val="0"/>
        <w:autoSpaceDN w:val="0"/>
        <w:adjustRightInd w:val="0"/>
        <w:spacing w:after="0" w:line="360" w:lineRule="auto"/>
        <w:jc w:val="both"/>
        <w:rPr>
          <w:rFonts w:asciiTheme="minorHAnsi" w:hAnsiTheme="minorHAnsi" w:cs="Times New Roman"/>
          <w:sz w:val="24"/>
          <w:szCs w:val="24"/>
        </w:rPr>
      </w:pPr>
    </w:p>
    <w:p w:rsidR="0062164E" w:rsidRPr="00B05407" w:rsidRDefault="0062164E" w:rsidP="0062164E">
      <w:pPr>
        <w:autoSpaceDE w:val="0"/>
        <w:autoSpaceDN w:val="0"/>
        <w:adjustRightInd w:val="0"/>
        <w:spacing w:after="0" w:line="360" w:lineRule="auto"/>
        <w:jc w:val="both"/>
        <w:rPr>
          <w:rFonts w:asciiTheme="minorHAnsi" w:hAnsiTheme="minorHAnsi" w:cs="Times New Roman"/>
          <w:sz w:val="24"/>
          <w:szCs w:val="24"/>
        </w:rPr>
      </w:pPr>
      <w:r w:rsidRPr="00B05407">
        <w:rPr>
          <w:rFonts w:asciiTheme="minorHAnsi" w:hAnsiTheme="minorHAnsi" w:cs="Times New Roman"/>
          <w:sz w:val="24"/>
          <w:szCs w:val="24"/>
        </w:rPr>
        <w:t>Always subject to the above obligations on confidentiality and intellectual property:</w:t>
      </w:r>
    </w:p>
    <w:p w:rsidR="0062164E" w:rsidRPr="00B05407" w:rsidRDefault="0062164E" w:rsidP="0062164E">
      <w:pPr>
        <w:autoSpaceDE w:val="0"/>
        <w:autoSpaceDN w:val="0"/>
        <w:adjustRightInd w:val="0"/>
        <w:spacing w:after="0" w:line="360" w:lineRule="auto"/>
        <w:jc w:val="both"/>
        <w:rPr>
          <w:rFonts w:asciiTheme="minorHAnsi" w:hAnsiTheme="minorHAnsi" w:cs="Times New Roman"/>
          <w:sz w:val="24"/>
          <w:szCs w:val="24"/>
        </w:rPr>
      </w:pPr>
    </w:p>
    <w:p w:rsidR="0062164E" w:rsidRPr="00B05407" w:rsidRDefault="0062164E" w:rsidP="0062164E">
      <w:pPr>
        <w:pStyle w:val="Listenabsatz"/>
        <w:numPr>
          <w:ilvl w:val="1"/>
          <w:numId w:val="17"/>
        </w:numPr>
        <w:autoSpaceDE w:val="0"/>
        <w:autoSpaceDN w:val="0"/>
        <w:adjustRightInd w:val="0"/>
        <w:spacing w:after="0" w:line="360" w:lineRule="auto"/>
        <w:ind w:hanging="792"/>
        <w:jc w:val="both"/>
        <w:rPr>
          <w:rFonts w:asciiTheme="minorHAnsi" w:hAnsiTheme="minorHAnsi" w:cs="Times New Roman"/>
          <w:bCs/>
          <w:sz w:val="24"/>
          <w:szCs w:val="24"/>
        </w:rPr>
      </w:pPr>
      <w:r w:rsidRPr="00B05407">
        <w:rPr>
          <w:rFonts w:asciiTheme="minorHAnsi" w:hAnsiTheme="minorHAnsi" w:cs="Times New Roman"/>
          <w:bCs/>
          <w:sz w:val="24"/>
          <w:szCs w:val="24"/>
        </w:rPr>
        <w:t>the Parties, except for activities covered by Article 3 above, shall strive to jointly publish the results of their co-operation as publications open to the general public.</w:t>
      </w:r>
    </w:p>
    <w:p w:rsidR="0062164E" w:rsidRPr="00B05407" w:rsidRDefault="0062164E" w:rsidP="0062164E">
      <w:pPr>
        <w:pStyle w:val="Listenabsatz"/>
        <w:autoSpaceDE w:val="0"/>
        <w:autoSpaceDN w:val="0"/>
        <w:adjustRightInd w:val="0"/>
        <w:spacing w:after="0" w:line="360" w:lineRule="auto"/>
        <w:ind w:left="792"/>
        <w:jc w:val="both"/>
        <w:rPr>
          <w:rFonts w:asciiTheme="minorHAnsi" w:hAnsiTheme="minorHAnsi" w:cs="Times New Roman"/>
          <w:bCs/>
          <w:sz w:val="24"/>
          <w:szCs w:val="24"/>
        </w:rPr>
      </w:pPr>
    </w:p>
    <w:p w:rsidR="0062164E" w:rsidRPr="00B05407" w:rsidRDefault="0062164E" w:rsidP="0062164E">
      <w:pPr>
        <w:pStyle w:val="Listenabsatz"/>
        <w:numPr>
          <w:ilvl w:val="1"/>
          <w:numId w:val="17"/>
        </w:numPr>
        <w:autoSpaceDE w:val="0"/>
        <w:autoSpaceDN w:val="0"/>
        <w:adjustRightInd w:val="0"/>
        <w:spacing w:after="0" w:line="360" w:lineRule="auto"/>
        <w:ind w:hanging="792"/>
        <w:jc w:val="both"/>
        <w:rPr>
          <w:rFonts w:asciiTheme="minorHAnsi" w:hAnsiTheme="minorHAnsi" w:cs="Times New Roman"/>
          <w:bCs/>
          <w:sz w:val="24"/>
          <w:szCs w:val="24"/>
        </w:rPr>
      </w:pPr>
      <w:r w:rsidRPr="00B05407">
        <w:rPr>
          <w:rFonts w:asciiTheme="minorHAnsi" w:hAnsiTheme="minorHAnsi" w:cs="Times New Roman"/>
          <w:bCs/>
          <w:sz w:val="24"/>
          <w:szCs w:val="24"/>
        </w:rPr>
        <w:t>Publications shall acknowledge the collaboration between the Parties, including, whenever appropriate, the experts having taken part in the development of the results covered by the publication.</w:t>
      </w:r>
    </w:p>
    <w:p w:rsidR="0062164E" w:rsidRPr="00B05407" w:rsidRDefault="0062164E" w:rsidP="0062164E">
      <w:pPr>
        <w:pStyle w:val="HeadingArticle"/>
        <w:numPr>
          <w:ilvl w:val="0"/>
          <w:numId w:val="18"/>
        </w:numPr>
        <w:tabs>
          <w:tab w:val="left" w:pos="1560"/>
        </w:tabs>
        <w:rPr>
          <w:rFonts w:asciiTheme="minorHAnsi" w:hAnsiTheme="minorHAnsi"/>
        </w:rPr>
      </w:pPr>
      <w:r w:rsidRPr="00B05407">
        <w:rPr>
          <w:rFonts w:asciiTheme="minorHAnsi" w:hAnsiTheme="minorHAnsi"/>
        </w:rPr>
        <w:t>LIABILITY</w:t>
      </w:r>
    </w:p>
    <w:p w:rsidR="0062164E" w:rsidRPr="00B05407" w:rsidRDefault="0062164E" w:rsidP="0062164E">
      <w:pPr>
        <w:autoSpaceDE w:val="0"/>
        <w:autoSpaceDN w:val="0"/>
        <w:adjustRightInd w:val="0"/>
        <w:spacing w:after="0" w:line="360" w:lineRule="auto"/>
        <w:jc w:val="both"/>
        <w:rPr>
          <w:rFonts w:asciiTheme="minorHAnsi" w:hAnsiTheme="minorHAnsi" w:cs="Times New Roman"/>
          <w:sz w:val="24"/>
          <w:szCs w:val="24"/>
        </w:rPr>
      </w:pPr>
    </w:p>
    <w:p w:rsidR="0062164E" w:rsidRPr="00B05407" w:rsidRDefault="0062164E" w:rsidP="0062164E">
      <w:pPr>
        <w:pStyle w:val="Listenabsatz"/>
        <w:numPr>
          <w:ilvl w:val="1"/>
          <w:numId w:val="17"/>
        </w:numPr>
        <w:autoSpaceDE w:val="0"/>
        <w:autoSpaceDN w:val="0"/>
        <w:adjustRightInd w:val="0"/>
        <w:spacing w:after="0" w:line="360" w:lineRule="auto"/>
        <w:ind w:hanging="792"/>
        <w:jc w:val="both"/>
        <w:rPr>
          <w:rFonts w:asciiTheme="minorHAnsi" w:hAnsiTheme="minorHAnsi" w:cs="Times New Roman"/>
          <w:bCs/>
          <w:sz w:val="24"/>
          <w:szCs w:val="24"/>
        </w:rPr>
      </w:pPr>
      <w:r w:rsidRPr="00B05407">
        <w:rPr>
          <w:rFonts w:asciiTheme="minorHAnsi" w:hAnsiTheme="minorHAnsi" w:cs="Times New Roman"/>
          <w:bCs/>
          <w:sz w:val="24"/>
          <w:szCs w:val="24"/>
        </w:rPr>
        <w:t xml:space="preserve">Each Party shall bear its own loss and damage in connection with this Agreement and not make claims on the other Party, including with respect to injury, death or damage in respect of its personnel or its contractors and their personnel, except as provided in Articles 6.2, 7.4 and 9.2. It is understood that the foregoing is without prejudice to the settlement of any </w:t>
      </w:r>
      <w:r w:rsidRPr="00B05407">
        <w:rPr>
          <w:rFonts w:asciiTheme="minorHAnsi" w:hAnsiTheme="minorHAnsi" w:cs="Times New Roman"/>
          <w:bCs/>
          <w:sz w:val="24"/>
          <w:szCs w:val="24"/>
        </w:rPr>
        <w:lastRenderedPageBreak/>
        <w:t>claims submitted by one Party’s personnel, contractors or their personnel to the other Party on the basis of acts or omissions by the latter.</w:t>
      </w:r>
    </w:p>
    <w:p w:rsidR="0062164E" w:rsidRPr="00B05407" w:rsidRDefault="0062164E" w:rsidP="0062164E">
      <w:pPr>
        <w:pStyle w:val="Listenabsatz"/>
        <w:autoSpaceDE w:val="0"/>
        <w:autoSpaceDN w:val="0"/>
        <w:adjustRightInd w:val="0"/>
        <w:spacing w:after="0" w:line="360" w:lineRule="auto"/>
        <w:ind w:left="792"/>
        <w:jc w:val="both"/>
        <w:rPr>
          <w:rFonts w:asciiTheme="minorHAnsi" w:hAnsiTheme="minorHAnsi" w:cs="Times New Roman"/>
          <w:bCs/>
          <w:sz w:val="24"/>
          <w:szCs w:val="24"/>
        </w:rPr>
      </w:pPr>
    </w:p>
    <w:p w:rsidR="0062164E" w:rsidRPr="00B05407" w:rsidRDefault="0062164E" w:rsidP="0062164E">
      <w:pPr>
        <w:pStyle w:val="Listenabsatz"/>
        <w:numPr>
          <w:ilvl w:val="1"/>
          <w:numId w:val="17"/>
        </w:numPr>
        <w:autoSpaceDE w:val="0"/>
        <w:autoSpaceDN w:val="0"/>
        <w:adjustRightInd w:val="0"/>
        <w:spacing w:after="0" w:line="360" w:lineRule="auto"/>
        <w:ind w:hanging="792"/>
        <w:jc w:val="both"/>
        <w:rPr>
          <w:rFonts w:asciiTheme="minorHAnsi" w:hAnsiTheme="minorHAnsi" w:cs="Times New Roman"/>
          <w:bCs/>
          <w:sz w:val="24"/>
          <w:szCs w:val="24"/>
        </w:rPr>
      </w:pPr>
      <w:r w:rsidRPr="00B05407">
        <w:rPr>
          <w:rFonts w:asciiTheme="minorHAnsi" w:hAnsiTheme="minorHAnsi" w:cs="Times New Roman"/>
          <w:bCs/>
          <w:sz w:val="24"/>
          <w:szCs w:val="24"/>
        </w:rPr>
        <w:t>The responsible Party shall indemnify the other Party for its loss and damage resulting from gross negligence or wilful misconduct by the responsible Party, or a violation by the responsible Party of the rules of conduct and safety in force at the host Party, but not for any consequential loss or damage, such as loss of income or of availability of data or installations.</w:t>
      </w:r>
    </w:p>
    <w:p w:rsidR="0062164E" w:rsidRPr="00B05407" w:rsidRDefault="0062164E" w:rsidP="0062164E">
      <w:pPr>
        <w:autoSpaceDE w:val="0"/>
        <w:autoSpaceDN w:val="0"/>
        <w:adjustRightInd w:val="0"/>
        <w:spacing w:after="0" w:line="360" w:lineRule="auto"/>
        <w:jc w:val="both"/>
        <w:rPr>
          <w:rFonts w:asciiTheme="minorHAnsi" w:hAnsiTheme="minorHAnsi" w:cs="Times New Roman"/>
          <w:sz w:val="24"/>
          <w:szCs w:val="24"/>
        </w:rPr>
      </w:pPr>
    </w:p>
    <w:p w:rsidR="0062164E" w:rsidRPr="00B05407" w:rsidRDefault="0062164E" w:rsidP="0062164E">
      <w:pPr>
        <w:autoSpaceDE w:val="0"/>
        <w:autoSpaceDN w:val="0"/>
        <w:adjustRightInd w:val="0"/>
        <w:spacing w:after="0" w:line="360" w:lineRule="auto"/>
        <w:jc w:val="both"/>
        <w:rPr>
          <w:rFonts w:asciiTheme="minorHAnsi" w:hAnsiTheme="minorHAnsi" w:cs="Times New Roman"/>
          <w:sz w:val="24"/>
          <w:szCs w:val="24"/>
        </w:rPr>
      </w:pPr>
    </w:p>
    <w:p w:rsidR="0062164E" w:rsidRPr="00B05407" w:rsidRDefault="0062164E" w:rsidP="0062164E">
      <w:pPr>
        <w:pStyle w:val="HeadingArticle"/>
        <w:numPr>
          <w:ilvl w:val="0"/>
          <w:numId w:val="18"/>
        </w:numPr>
        <w:tabs>
          <w:tab w:val="left" w:pos="1560"/>
        </w:tabs>
        <w:rPr>
          <w:rFonts w:asciiTheme="minorHAnsi" w:hAnsiTheme="minorHAnsi"/>
        </w:rPr>
      </w:pPr>
      <w:r w:rsidRPr="00B05407">
        <w:rPr>
          <w:rFonts w:asciiTheme="minorHAnsi" w:hAnsiTheme="minorHAnsi"/>
        </w:rPr>
        <w:t>LIAISON</w:t>
      </w:r>
    </w:p>
    <w:p w:rsidR="0062164E" w:rsidRPr="00B05407" w:rsidRDefault="0062164E" w:rsidP="0062164E">
      <w:pPr>
        <w:autoSpaceDE w:val="0"/>
        <w:autoSpaceDN w:val="0"/>
        <w:adjustRightInd w:val="0"/>
        <w:spacing w:after="0" w:line="360" w:lineRule="auto"/>
        <w:jc w:val="both"/>
        <w:rPr>
          <w:rFonts w:asciiTheme="minorHAnsi" w:hAnsiTheme="minorHAnsi" w:cs="Times New Roman"/>
          <w:sz w:val="24"/>
          <w:szCs w:val="24"/>
        </w:rPr>
      </w:pPr>
    </w:p>
    <w:p w:rsidR="0062164E" w:rsidRPr="00B05407" w:rsidRDefault="0062164E" w:rsidP="0062164E">
      <w:pPr>
        <w:pStyle w:val="Listenabsatz"/>
        <w:numPr>
          <w:ilvl w:val="1"/>
          <w:numId w:val="17"/>
        </w:numPr>
        <w:autoSpaceDE w:val="0"/>
        <w:autoSpaceDN w:val="0"/>
        <w:adjustRightInd w:val="0"/>
        <w:spacing w:after="0" w:line="360" w:lineRule="auto"/>
        <w:ind w:hanging="792"/>
        <w:jc w:val="both"/>
        <w:rPr>
          <w:rFonts w:asciiTheme="minorHAnsi" w:hAnsiTheme="minorHAnsi" w:cs="Times New Roman"/>
          <w:bCs/>
          <w:sz w:val="24"/>
          <w:szCs w:val="24"/>
        </w:rPr>
      </w:pPr>
      <w:r w:rsidRPr="00B05407">
        <w:rPr>
          <w:rFonts w:asciiTheme="minorHAnsi" w:hAnsiTheme="minorHAnsi" w:cs="Times New Roman"/>
          <w:bCs/>
          <w:sz w:val="24"/>
          <w:szCs w:val="24"/>
        </w:rPr>
        <w:t>The Parties shall designate contact persons for the areas of co-operation mentioned in Article 1 and in the Annex to this Agreement.</w:t>
      </w:r>
    </w:p>
    <w:p w:rsidR="0062164E" w:rsidRPr="00B05407" w:rsidRDefault="0062164E" w:rsidP="0062164E">
      <w:pPr>
        <w:pStyle w:val="Listenabsatz"/>
        <w:autoSpaceDE w:val="0"/>
        <w:autoSpaceDN w:val="0"/>
        <w:adjustRightInd w:val="0"/>
        <w:spacing w:after="0" w:line="360" w:lineRule="auto"/>
        <w:ind w:left="792"/>
        <w:jc w:val="both"/>
        <w:rPr>
          <w:rFonts w:asciiTheme="minorHAnsi" w:hAnsiTheme="minorHAnsi" w:cs="Times New Roman"/>
          <w:bCs/>
          <w:sz w:val="24"/>
          <w:szCs w:val="24"/>
        </w:rPr>
      </w:pPr>
    </w:p>
    <w:p w:rsidR="0062164E" w:rsidRPr="00B05407" w:rsidRDefault="0062164E" w:rsidP="0062164E">
      <w:pPr>
        <w:pStyle w:val="Listenabsatz"/>
        <w:numPr>
          <w:ilvl w:val="1"/>
          <w:numId w:val="17"/>
        </w:numPr>
        <w:autoSpaceDE w:val="0"/>
        <w:autoSpaceDN w:val="0"/>
        <w:adjustRightInd w:val="0"/>
        <w:spacing w:after="0" w:line="360" w:lineRule="auto"/>
        <w:ind w:hanging="792"/>
        <w:jc w:val="both"/>
        <w:rPr>
          <w:rFonts w:asciiTheme="minorHAnsi" w:hAnsiTheme="minorHAnsi" w:cs="Times New Roman"/>
          <w:bCs/>
          <w:sz w:val="24"/>
          <w:szCs w:val="24"/>
        </w:rPr>
      </w:pPr>
      <w:r w:rsidRPr="00B05407">
        <w:rPr>
          <w:rFonts w:asciiTheme="minorHAnsi" w:hAnsiTheme="minorHAnsi" w:cs="Times New Roman"/>
          <w:bCs/>
          <w:sz w:val="24"/>
          <w:szCs w:val="24"/>
        </w:rPr>
        <w:t>The points of contact shall in particular co-ordinate actions relating to the implementation of this Agreement and take measures to facilitate further development of co-operative activities. Such points of contact shall be the ordinary channels for the Parties' communication of proposals for co-operation.</w:t>
      </w:r>
    </w:p>
    <w:p w:rsidR="0062164E" w:rsidRPr="00B05407" w:rsidRDefault="0062164E" w:rsidP="0062164E">
      <w:pPr>
        <w:autoSpaceDE w:val="0"/>
        <w:autoSpaceDN w:val="0"/>
        <w:adjustRightInd w:val="0"/>
        <w:spacing w:after="0" w:line="360" w:lineRule="auto"/>
        <w:ind w:left="720" w:hanging="720"/>
        <w:jc w:val="both"/>
        <w:rPr>
          <w:rFonts w:asciiTheme="minorHAnsi" w:hAnsiTheme="minorHAnsi" w:cs="Times New Roman"/>
          <w:bCs/>
          <w:sz w:val="24"/>
          <w:szCs w:val="24"/>
        </w:rPr>
      </w:pPr>
    </w:p>
    <w:p w:rsidR="0062164E" w:rsidRPr="00B05407" w:rsidRDefault="0062164E" w:rsidP="0062164E">
      <w:pPr>
        <w:autoSpaceDE w:val="0"/>
        <w:autoSpaceDN w:val="0"/>
        <w:adjustRightInd w:val="0"/>
        <w:spacing w:after="0" w:line="360" w:lineRule="auto"/>
        <w:ind w:left="720" w:hanging="720"/>
        <w:jc w:val="both"/>
        <w:rPr>
          <w:rFonts w:asciiTheme="minorHAnsi" w:hAnsiTheme="minorHAnsi" w:cs="Times New Roman"/>
          <w:bCs/>
          <w:sz w:val="24"/>
          <w:szCs w:val="24"/>
        </w:rPr>
      </w:pPr>
    </w:p>
    <w:p w:rsidR="0062164E" w:rsidRPr="00B05407" w:rsidRDefault="0062164E" w:rsidP="0062164E">
      <w:pPr>
        <w:pStyle w:val="HeadingArticle"/>
        <w:numPr>
          <w:ilvl w:val="0"/>
          <w:numId w:val="18"/>
        </w:numPr>
        <w:tabs>
          <w:tab w:val="left" w:pos="1560"/>
        </w:tabs>
        <w:rPr>
          <w:rFonts w:asciiTheme="minorHAnsi" w:hAnsiTheme="minorHAnsi"/>
        </w:rPr>
      </w:pPr>
      <w:r w:rsidRPr="00B05407">
        <w:rPr>
          <w:rFonts w:asciiTheme="minorHAnsi" w:hAnsiTheme="minorHAnsi"/>
        </w:rPr>
        <w:t>PUBLIC RELATIONS</w:t>
      </w:r>
    </w:p>
    <w:p w:rsidR="0062164E" w:rsidRPr="00B05407" w:rsidRDefault="0062164E" w:rsidP="0062164E">
      <w:pPr>
        <w:autoSpaceDE w:val="0"/>
        <w:autoSpaceDN w:val="0"/>
        <w:adjustRightInd w:val="0"/>
        <w:spacing w:after="0" w:line="360" w:lineRule="auto"/>
        <w:jc w:val="both"/>
        <w:rPr>
          <w:rFonts w:asciiTheme="minorHAnsi" w:hAnsiTheme="minorHAnsi" w:cs="Times New Roman"/>
          <w:sz w:val="24"/>
          <w:szCs w:val="24"/>
        </w:rPr>
      </w:pPr>
    </w:p>
    <w:p w:rsidR="0062164E" w:rsidRPr="00B05407" w:rsidRDefault="0062164E" w:rsidP="0062164E">
      <w:pPr>
        <w:pStyle w:val="Listenabsatz"/>
        <w:numPr>
          <w:ilvl w:val="1"/>
          <w:numId w:val="17"/>
        </w:numPr>
        <w:autoSpaceDE w:val="0"/>
        <w:autoSpaceDN w:val="0"/>
        <w:adjustRightInd w:val="0"/>
        <w:spacing w:after="0" w:line="360" w:lineRule="auto"/>
        <w:ind w:hanging="792"/>
        <w:jc w:val="both"/>
        <w:rPr>
          <w:rFonts w:asciiTheme="minorHAnsi" w:hAnsiTheme="minorHAnsi" w:cs="Times New Roman"/>
          <w:bCs/>
          <w:sz w:val="24"/>
          <w:szCs w:val="24"/>
        </w:rPr>
      </w:pPr>
      <w:r w:rsidRPr="00B05407">
        <w:rPr>
          <w:rFonts w:asciiTheme="minorHAnsi" w:hAnsiTheme="minorHAnsi" w:cs="Times New Roman"/>
          <w:bCs/>
          <w:sz w:val="24"/>
          <w:szCs w:val="24"/>
        </w:rPr>
        <w:t>Each Party shall undertake to co-ordinate with the other in advance concerning its own or joint public relations activities related to the subjects covered by this Agreement.</w:t>
      </w:r>
    </w:p>
    <w:p w:rsidR="0062164E" w:rsidRPr="00B05407" w:rsidRDefault="0062164E" w:rsidP="0062164E">
      <w:pPr>
        <w:pStyle w:val="Listenabsatz"/>
        <w:numPr>
          <w:ilvl w:val="1"/>
          <w:numId w:val="17"/>
        </w:numPr>
        <w:autoSpaceDE w:val="0"/>
        <w:autoSpaceDN w:val="0"/>
        <w:adjustRightInd w:val="0"/>
        <w:spacing w:after="0" w:line="360" w:lineRule="auto"/>
        <w:ind w:hanging="792"/>
        <w:jc w:val="both"/>
        <w:rPr>
          <w:rFonts w:asciiTheme="minorHAnsi" w:hAnsiTheme="minorHAnsi" w:cs="Times New Roman"/>
          <w:bCs/>
          <w:sz w:val="24"/>
          <w:szCs w:val="24"/>
        </w:rPr>
      </w:pPr>
      <w:r w:rsidRPr="00B05407">
        <w:rPr>
          <w:rFonts w:asciiTheme="minorHAnsi" w:hAnsiTheme="minorHAnsi" w:cs="Times New Roman"/>
          <w:bCs/>
          <w:sz w:val="24"/>
          <w:szCs w:val="24"/>
        </w:rPr>
        <w:t>In all relevant media activities, the role of each Party shall be clearly identified and mentioned.</w:t>
      </w:r>
    </w:p>
    <w:p w:rsidR="0062164E" w:rsidRPr="00B05407" w:rsidRDefault="0062164E" w:rsidP="0062164E">
      <w:pPr>
        <w:autoSpaceDE w:val="0"/>
        <w:autoSpaceDN w:val="0"/>
        <w:adjustRightInd w:val="0"/>
        <w:spacing w:after="0" w:line="360" w:lineRule="auto"/>
        <w:jc w:val="both"/>
        <w:rPr>
          <w:rFonts w:asciiTheme="minorHAnsi" w:hAnsiTheme="minorHAnsi" w:cs="Times New Roman"/>
          <w:sz w:val="24"/>
          <w:szCs w:val="24"/>
        </w:rPr>
      </w:pPr>
    </w:p>
    <w:p w:rsidR="0062164E" w:rsidRPr="00B05407" w:rsidRDefault="0062164E" w:rsidP="0062164E">
      <w:pPr>
        <w:autoSpaceDE w:val="0"/>
        <w:autoSpaceDN w:val="0"/>
        <w:adjustRightInd w:val="0"/>
        <w:spacing w:after="0" w:line="360" w:lineRule="auto"/>
        <w:jc w:val="both"/>
        <w:rPr>
          <w:rFonts w:asciiTheme="minorHAnsi" w:hAnsiTheme="minorHAnsi" w:cs="Times New Roman"/>
          <w:sz w:val="24"/>
          <w:szCs w:val="24"/>
        </w:rPr>
      </w:pPr>
    </w:p>
    <w:p w:rsidR="0062164E" w:rsidRPr="00B05407" w:rsidRDefault="0062164E" w:rsidP="0062164E">
      <w:pPr>
        <w:pStyle w:val="HeadingArticle"/>
        <w:numPr>
          <w:ilvl w:val="0"/>
          <w:numId w:val="18"/>
        </w:numPr>
        <w:tabs>
          <w:tab w:val="left" w:pos="1560"/>
        </w:tabs>
        <w:rPr>
          <w:rFonts w:asciiTheme="minorHAnsi" w:hAnsiTheme="minorHAnsi"/>
        </w:rPr>
      </w:pPr>
      <w:r w:rsidRPr="00B05407">
        <w:rPr>
          <w:rFonts w:asciiTheme="minorHAnsi" w:hAnsiTheme="minorHAnsi"/>
        </w:rPr>
        <w:t>SETTLEMENT OF DISPUTES</w:t>
      </w:r>
    </w:p>
    <w:p w:rsidR="0062164E" w:rsidRPr="00B05407" w:rsidRDefault="0062164E" w:rsidP="0062164E">
      <w:pPr>
        <w:autoSpaceDE w:val="0"/>
        <w:autoSpaceDN w:val="0"/>
        <w:adjustRightInd w:val="0"/>
        <w:spacing w:after="0" w:line="360" w:lineRule="auto"/>
        <w:jc w:val="both"/>
        <w:rPr>
          <w:rFonts w:asciiTheme="minorHAnsi" w:hAnsiTheme="minorHAnsi" w:cs="Times New Roman"/>
          <w:sz w:val="24"/>
          <w:szCs w:val="24"/>
        </w:rPr>
      </w:pPr>
    </w:p>
    <w:p w:rsidR="0062164E" w:rsidRPr="00B05407" w:rsidRDefault="0062164E" w:rsidP="0062164E">
      <w:pPr>
        <w:autoSpaceDE w:val="0"/>
        <w:autoSpaceDN w:val="0"/>
        <w:adjustRightInd w:val="0"/>
        <w:spacing w:after="0" w:line="360" w:lineRule="auto"/>
        <w:jc w:val="both"/>
        <w:rPr>
          <w:rFonts w:asciiTheme="minorHAnsi" w:hAnsiTheme="minorHAnsi" w:cs="Times New Roman"/>
          <w:sz w:val="24"/>
          <w:szCs w:val="24"/>
        </w:rPr>
      </w:pPr>
      <w:r w:rsidRPr="00B05407">
        <w:rPr>
          <w:rFonts w:asciiTheme="minorHAnsi" w:hAnsiTheme="minorHAnsi" w:cs="Times New Roman"/>
          <w:sz w:val="24"/>
          <w:szCs w:val="24"/>
        </w:rPr>
        <w:t xml:space="preserve">Any problems arising during the execution of tis contract shall be amicably settled between the Parties.  First, the respective project management units of the Parties will have to be involved.  In the </w:t>
      </w:r>
      <w:r w:rsidRPr="00B05407">
        <w:rPr>
          <w:rFonts w:asciiTheme="minorHAnsi" w:hAnsiTheme="minorHAnsi" w:cs="Times New Roman"/>
          <w:sz w:val="24"/>
          <w:szCs w:val="24"/>
        </w:rPr>
        <w:lastRenderedPageBreak/>
        <w:t>event that a solution cannot be reached, the conflict shall be discussed between the Managing Directors of the Company and of the Partner.</w:t>
      </w:r>
    </w:p>
    <w:p w:rsidR="0062164E" w:rsidRPr="00B05407" w:rsidRDefault="0062164E" w:rsidP="0062164E">
      <w:pPr>
        <w:autoSpaceDE w:val="0"/>
        <w:autoSpaceDN w:val="0"/>
        <w:adjustRightInd w:val="0"/>
        <w:spacing w:after="0" w:line="360" w:lineRule="auto"/>
        <w:jc w:val="both"/>
        <w:rPr>
          <w:rFonts w:asciiTheme="minorHAnsi" w:hAnsiTheme="minorHAnsi" w:cs="Times New Roman"/>
          <w:sz w:val="24"/>
          <w:szCs w:val="24"/>
        </w:rPr>
      </w:pPr>
    </w:p>
    <w:p w:rsidR="0062164E" w:rsidRPr="00B05407" w:rsidRDefault="0062164E" w:rsidP="0062164E">
      <w:pPr>
        <w:pStyle w:val="HeadingArticle"/>
        <w:numPr>
          <w:ilvl w:val="0"/>
          <w:numId w:val="18"/>
        </w:numPr>
        <w:tabs>
          <w:tab w:val="left" w:pos="1560"/>
        </w:tabs>
        <w:rPr>
          <w:rFonts w:asciiTheme="minorHAnsi" w:hAnsiTheme="minorHAnsi"/>
        </w:rPr>
      </w:pPr>
      <w:r w:rsidRPr="00B05407">
        <w:rPr>
          <w:rFonts w:asciiTheme="minorHAnsi" w:hAnsiTheme="minorHAnsi"/>
        </w:rPr>
        <w:t>AMENDMENTS</w:t>
      </w:r>
    </w:p>
    <w:p w:rsidR="0062164E" w:rsidRPr="00B05407" w:rsidRDefault="0062164E" w:rsidP="0062164E">
      <w:pPr>
        <w:autoSpaceDE w:val="0"/>
        <w:autoSpaceDN w:val="0"/>
        <w:adjustRightInd w:val="0"/>
        <w:spacing w:after="0" w:line="360" w:lineRule="auto"/>
        <w:jc w:val="both"/>
        <w:rPr>
          <w:rFonts w:asciiTheme="minorHAnsi" w:hAnsiTheme="minorHAnsi" w:cs="Times New Roman"/>
          <w:sz w:val="24"/>
          <w:szCs w:val="24"/>
        </w:rPr>
      </w:pPr>
    </w:p>
    <w:p w:rsidR="0062164E" w:rsidRPr="00B05407" w:rsidRDefault="0062164E" w:rsidP="0062164E">
      <w:pPr>
        <w:autoSpaceDE w:val="0"/>
        <w:autoSpaceDN w:val="0"/>
        <w:adjustRightInd w:val="0"/>
        <w:spacing w:after="0" w:line="360" w:lineRule="auto"/>
        <w:jc w:val="both"/>
        <w:rPr>
          <w:rFonts w:asciiTheme="minorHAnsi" w:hAnsiTheme="minorHAnsi" w:cs="Times New Roman"/>
          <w:sz w:val="24"/>
          <w:szCs w:val="24"/>
        </w:rPr>
      </w:pPr>
      <w:r w:rsidRPr="00B05407">
        <w:rPr>
          <w:rFonts w:asciiTheme="minorHAnsi" w:hAnsiTheme="minorHAnsi" w:cs="Times New Roman"/>
          <w:sz w:val="24"/>
          <w:szCs w:val="24"/>
        </w:rPr>
        <w:t>This Agreement may be modified by mutual consent. The Party wishing to amend a provision of this Agreement shall notify the other Party in writing. Any amendment shall enter into force when each Party has notified the other in writing of its acceptance of the said amendment in accordance with its own procedure.</w:t>
      </w:r>
    </w:p>
    <w:p w:rsidR="0062164E" w:rsidRPr="00B05407" w:rsidRDefault="0062164E" w:rsidP="0062164E">
      <w:pPr>
        <w:autoSpaceDE w:val="0"/>
        <w:autoSpaceDN w:val="0"/>
        <w:adjustRightInd w:val="0"/>
        <w:spacing w:after="0" w:line="360" w:lineRule="auto"/>
        <w:jc w:val="both"/>
        <w:rPr>
          <w:rFonts w:asciiTheme="minorHAnsi" w:hAnsiTheme="minorHAnsi" w:cs="Times New Roman"/>
          <w:sz w:val="24"/>
          <w:szCs w:val="24"/>
        </w:rPr>
      </w:pPr>
    </w:p>
    <w:p w:rsidR="0062164E" w:rsidRPr="00B05407" w:rsidRDefault="0062164E" w:rsidP="0062164E">
      <w:pPr>
        <w:autoSpaceDE w:val="0"/>
        <w:autoSpaceDN w:val="0"/>
        <w:adjustRightInd w:val="0"/>
        <w:spacing w:after="0" w:line="360" w:lineRule="auto"/>
        <w:jc w:val="both"/>
        <w:rPr>
          <w:rFonts w:asciiTheme="minorHAnsi" w:hAnsiTheme="minorHAnsi" w:cs="Times New Roman"/>
          <w:sz w:val="24"/>
          <w:szCs w:val="24"/>
        </w:rPr>
      </w:pPr>
    </w:p>
    <w:p w:rsidR="0062164E" w:rsidRPr="00B05407" w:rsidRDefault="0062164E" w:rsidP="0062164E">
      <w:pPr>
        <w:pStyle w:val="HeadingArticle"/>
        <w:numPr>
          <w:ilvl w:val="0"/>
          <w:numId w:val="18"/>
        </w:numPr>
        <w:tabs>
          <w:tab w:val="left" w:pos="1560"/>
        </w:tabs>
        <w:rPr>
          <w:rFonts w:asciiTheme="minorHAnsi" w:hAnsiTheme="minorHAnsi"/>
        </w:rPr>
      </w:pPr>
      <w:r w:rsidRPr="00B05407">
        <w:rPr>
          <w:rFonts w:asciiTheme="minorHAnsi" w:hAnsiTheme="minorHAnsi"/>
        </w:rPr>
        <w:t>ENTRY INTO FORCE AND DURATION</w:t>
      </w:r>
    </w:p>
    <w:p w:rsidR="0062164E" w:rsidRPr="00B05407" w:rsidRDefault="0062164E" w:rsidP="0062164E">
      <w:pPr>
        <w:autoSpaceDE w:val="0"/>
        <w:autoSpaceDN w:val="0"/>
        <w:adjustRightInd w:val="0"/>
        <w:spacing w:after="0" w:line="360" w:lineRule="auto"/>
        <w:jc w:val="both"/>
        <w:rPr>
          <w:rFonts w:asciiTheme="minorHAnsi" w:hAnsiTheme="minorHAnsi" w:cs="Times New Roman"/>
          <w:sz w:val="24"/>
          <w:szCs w:val="24"/>
        </w:rPr>
      </w:pPr>
    </w:p>
    <w:p w:rsidR="0062164E" w:rsidRPr="00B05407" w:rsidRDefault="0062164E" w:rsidP="0062164E">
      <w:pPr>
        <w:pStyle w:val="Listenabsatz"/>
        <w:numPr>
          <w:ilvl w:val="1"/>
          <w:numId w:val="17"/>
        </w:numPr>
        <w:autoSpaceDE w:val="0"/>
        <w:autoSpaceDN w:val="0"/>
        <w:adjustRightInd w:val="0"/>
        <w:spacing w:after="0" w:line="360" w:lineRule="auto"/>
        <w:ind w:hanging="792"/>
        <w:jc w:val="both"/>
        <w:rPr>
          <w:rFonts w:asciiTheme="minorHAnsi" w:hAnsiTheme="minorHAnsi" w:cs="Times New Roman"/>
          <w:bCs/>
          <w:sz w:val="24"/>
          <w:szCs w:val="24"/>
        </w:rPr>
      </w:pPr>
      <w:r w:rsidRPr="00B05407">
        <w:rPr>
          <w:rFonts w:asciiTheme="minorHAnsi" w:hAnsiTheme="minorHAnsi" w:cs="Times New Roman"/>
          <w:bCs/>
          <w:sz w:val="24"/>
          <w:szCs w:val="24"/>
        </w:rPr>
        <w:t>This Agreement shall come into force on the day on which it is signed by the Parties. It shall remain in force for an initial period of five years, and shall thereafter be extended automatically for additional periods of five years, subject to Article 14.2.</w:t>
      </w:r>
    </w:p>
    <w:p w:rsidR="0062164E" w:rsidRPr="00B05407" w:rsidRDefault="0062164E" w:rsidP="0062164E">
      <w:pPr>
        <w:pStyle w:val="Listenabsatz"/>
        <w:autoSpaceDE w:val="0"/>
        <w:autoSpaceDN w:val="0"/>
        <w:adjustRightInd w:val="0"/>
        <w:spacing w:after="0" w:line="360" w:lineRule="auto"/>
        <w:ind w:left="792"/>
        <w:jc w:val="both"/>
        <w:rPr>
          <w:rFonts w:asciiTheme="minorHAnsi" w:hAnsiTheme="minorHAnsi" w:cs="Times New Roman"/>
          <w:bCs/>
          <w:sz w:val="24"/>
          <w:szCs w:val="24"/>
        </w:rPr>
      </w:pPr>
    </w:p>
    <w:p w:rsidR="0062164E" w:rsidRPr="00B05407" w:rsidRDefault="0062164E" w:rsidP="0062164E">
      <w:pPr>
        <w:pStyle w:val="Listenabsatz"/>
        <w:numPr>
          <w:ilvl w:val="1"/>
          <w:numId w:val="17"/>
        </w:numPr>
        <w:autoSpaceDE w:val="0"/>
        <w:autoSpaceDN w:val="0"/>
        <w:adjustRightInd w:val="0"/>
        <w:spacing w:after="0" w:line="360" w:lineRule="auto"/>
        <w:ind w:hanging="792"/>
        <w:jc w:val="both"/>
        <w:rPr>
          <w:rFonts w:asciiTheme="minorHAnsi" w:hAnsiTheme="minorHAnsi" w:cs="Times New Roman"/>
          <w:bCs/>
          <w:sz w:val="24"/>
          <w:szCs w:val="24"/>
        </w:rPr>
      </w:pPr>
      <w:r w:rsidRPr="00B05407">
        <w:rPr>
          <w:rFonts w:asciiTheme="minorHAnsi" w:hAnsiTheme="minorHAnsi" w:cs="Times New Roman"/>
          <w:bCs/>
          <w:sz w:val="24"/>
          <w:szCs w:val="24"/>
        </w:rPr>
        <w:t>Notwithstanding Article 14.1, either Party may terminate this Agreement at any time by giving six months' notice in writing to the other Party, and the Parties may terminate this Agreement jointly at any time.</w:t>
      </w:r>
    </w:p>
    <w:p w:rsidR="0062164E" w:rsidRPr="00B05407" w:rsidRDefault="0062164E" w:rsidP="0062164E">
      <w:pPr>
        <w:pStyle w:val="Listenabsatz"/>
        <w:autoSpaceDE w:val="0"/>
        <w:autoSpaceDN w:val="0"/>
        <w:adjustRightInd w:val="0"/>
        <w:spacing w:after="0" w:line="360" w:lineRule="auto"/>
        <w:ind w:left="792"/>
        <w:jc w:val="both"/>
        <w:rPr>
          <w:rFonts w:asciiTheme="minorHAnsi" w:hAnsiTheme="minorHAnsi" w:cs="Times New Roman"/>
          <w:bCs/>
          <w:sz w:val="24"/>
          <w:szCs w:val="24"/>
        </w:rPr>
      </w:pPr>
    </w:p>
    <w:p w:rsidR="00420B54" w:rsidRPr="00B05407" w:rsidRDefault="0062164E" w:rsidP="001338FE">
      <w:pPr>
        <w:pStyle w:val="Listenabsatz"/>
        <w:numPr>
          <w:ilvl w:val="1"/>
          <w:numId w:val="17"/>
        </w:numPr>
        <w:autoSpaceDE w:val="0"/>
        <w:autoSpaceDN w:val="0"/>
        <w:adjustRightInd w:val="0"/>
        <w:spacing w:after="0" w:line="360" w:lineRule="auto"/>
        <w:ind w:hanging="792"/>
        <w:jc w:val="both"/>
        <w:rPr>
          <w:rFonts w:asciiTheme="minorHAnsi" w:hAnsiTheme="minorHAnsi" w:cs="Times New Roman"/>
          <w:bCs/>
          <w:sz w:val="24"/>
          <w:szCs w:val="24"/>
        </w:rPr>
      </w:pPr>
      <w:r w:rsidRPr="00B05407">
        <w:rPr>
          <w:rFonts w:asciiTheme="minorHAnsi" w:hAnsiTheme="minorHAnsi" w:cs="Times New Roman"/>
          <w:bCs/>
          <w:sz w:val="24"/>
          <w:szCs w:val="24"/>
        </w:rPr>
        <w:t>Except as agreed in writing by the Parties, obligations under this Agreement shall continue to be in force after the expiration or termination of this Agreement, to the extent necessary to secure the implementation of any implementing arrangements concluded pursuant to Article 2 and still effective on the date upon which this Agreement ceases to have effect.</w:t>
      </w:r>
    </w:p>
    <w:p w:rsidR="00245539" w:rsidRPr="001338FE" w:rsidRDefault="00245539" w:rsidP="001338FE">
      <w:pPr>
        <w:contextualSpacing/>
        <w:rPr>
          <w:rFonts w:ascii="Calibri" w:hAnsi="Calibri" w:cs="Calibri"/>
          <w:lang w:val="en-GB"/>
        </w:rPr>
      </w:pPr>
    </w:p>
    <w:p w:rsidR="00326DA9" w:rsidRPr="001338FE" w:rsidRDefault="00326DA9" w:rsidP="001338FE">
      <w:pPr>
        <w:contextualSpacing/>
        <w:rPr>
          <w:rFonts w:ascii="Calibri" w:hAnsi="Calibri" w:cs="Calibri"/>
          <w:lang w:val="en-GB"/>
        </w:rPr>
      </w:pPr>
    </w:p>
    <w:p w:rsidR="00326DA9" w:rsidRPr="001338FE" w:rsidRDefault="00326DA9" w:rsidP="001338FE">
      <w:pPr>
        <w:keepNext/>
        <w:contextualSpacing/>
        <w:jc w:val="center"/>
        <w:rPr>
          <w:rFonts w:ascii="Calibri" w:hAnsi="Calibri" w:cs="Calibri"/>
        </w:rPr>
      </w:pPr>
    </w:p>
    <w:p w:rsidR="00326DA9" w:rsidRPr="00326DA9" w:rsidRDefault="00326DA9" w:rsidP="00326DA9">
      <w:pPr>
        <w:pStyle w:val="Beschriftung"/>
        <w:jc w:val="center"/>
        <w:rPr>
          <w:lang w:val="en-GB"/>
        </w:rPr>
      </w:pPr>
    </w:p>
    <w:sectPr w:rsidR="00326DA9" w:rsidRPr="00326DA9" w:rsidSect="0005386D">
      <w:headerReference w:type="default" r:id="rId14"/>
      <w:footerReference w:type="default" r:id="rId15"/>
      <w:headerReference w:type="first" r:id="rId16"/>
      <w:pgSz w:w="11907" w:h="16840" w:code="9"/>
      <w:pgMar w:top="851" w:right="851" w:bottom="851" w:left="851" w:header="454"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A81" w:rsidRDefault="003C5A81">
      <w:r>
        <w:separator/>
      </w:r>
    </w:p>
  </w:endnote>
  <w:endnote w:type="continuationSeparator" w:id="0">
    <w:p w:rsidR="003C5A81" w:rsidRDefault="003C5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4879"/>
      <w:docPartObj>
        <w:docPartGallery w:val="Page Numbers (Bottom of Page)"/>
        <w:docPartUnique/>
      </w:docPartObj>
    </w:sdtPr>
    <w:sdtContent>
      <w:p w:rsidR="003C5A81" w:rsidRDefault="003C5A81" w:rsidP="00B10FE5">
        <w:pPr>
          <w:pStyle w:val="Fuzeile"/>
        </w:pPr>
        <w:r>
          <w:t>IDEAAL - 730989</w:t>
        </w:r>
        <w:r>
          <w:tab/>
          <w:t xml:space="preserve">                                </w:t>
        </w:r>
        <w:r>
          <w:fldChar w:fldCharType="begin"/>
        </w:r>
        <w:r>
          <w:instrText xml:space="preserve"> PAGE   \* MERGEFORMAT </w:instrText>
        </w:r>
        <w:r>
          <w:fldChar w:fldCharType="separate"/>
        </w:r>
        <w:r w:rsidR="00AE29C3">
          <w:rPr>
            <w:noProof/>
          </w:rPr>
          <w:t>2</w:t>
        </w:r>
        <w:r>
          <w:rPr>
            <w:noProof/>
          </w:rPr>
          <w:fldChar w:fldCharType="end"/>
        </w:r>
        <w:r>
          <w:tab/>
          <w:t>15</w:t>
        </w:r>
        <w:r w:rsidRPr="00C77CAD">
          <w:rPr>
            <w:vertAlign w:val="superscript"/>
          </w:rPr>
          <w:t>th</w:t>
        </w:r>
        <w:r>
          <w:t xml:space="preserve"> December 2018</w:t>
        </w:r>
      </w:p>
    </w:sdtContent>
  </w:sdt>
  <w:p w:rsidR="003C5A81" w:rsidRPr="009C2FF9" w:rsidRDefault="003C5A81" w:rsidP="009C2FF9">
    <w:pPr>
      <w:pStyle w:val="Fuzeile"/>
      <w:spacing w:after="0"/>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A81" w:rsidRDefault="003C5A81">
      <w:r>
        <w:separator/>
      </w:r>
    </w:p>
  </w:footnote>
  <w:footnote w:type="continuationSeparator" w:id="0">
    <w:p w:rsidR="003C5A81" w:rsidRDefault="003C5A81">
      <w:r>
        <w:continuationSeparator/>
      </w:r>
    </w:p>
  </w:footnote>
  <w:footnote w:id="1">
    <w:p w:rsidR="003C5A81" w:rsidRPr="00980A22" w:rsidRDefault="003C5A81">
      <w:pPr>
        <w:pStyle w:val="Funotentext"/>
        <w:rPr>
          <w:rFonts w:asciiTheme="majorHAnsi" w:hAnsiTheme="majorHAnsi" w:cstheme="majorHAnsi"/>
          <w:lang w:val="en-US"/>
        </w:rPr>
      </w:pPr>
      <w:r w:rsidRPr="00980A22">
        <w:rPr>
          <w:rStyle w:val="Funotenzeichen"/>
          <w:rFonts w:asciiTheme="majorHAnsi" w:hAnsiTheme="majorHAnsi" w:cstheme="majorHAnsi"/>
        </w:rPr>
        <w:footnoteRef/>
      </w:r>
      <w:r w:rsidRPr="00980A22">
        <w:rPr>
          <w:rFonts w:asciiTheme="majorHAnsi" w:hAnsiTheme="majorHAnsi" w:cstheme="majorHAnsi"/>
        </w:rPr>
        <w:t xml:space="preserve"> </w:t>
      </w:r>
      <w:r w:rsidRPr="00980A22">
        <w:rPr>
          <w:rFonts w:asciiTheme="majorHAnsi" w:hAnsiTheme="majorHAnsi" w:cstheme="majorHAnsi"/>
          <w:lang w:val="en-US"/>
        </w:rPr>
        <w:t>Some of the scope of GANIL-SPIRAL2 is already fixed, however, much is not. We use the phrase “sliding scope” to indicate that the scope is likely to change with time.</w:t>
      </w:r>
    </w:p>
  </w:footnote>
  <w:footnote w:id="2">
    <w:p w:rsidR="003C5A81" w:rsidRPr="004D6BC8" w:rsidRDefault="003C5A81">
      <w:pPr>
        <w:pStyle w:val="Funotentext"/>
        <w:rPr>
          <w:rFonts w:asciiTheme="majorHAnsi" w:hAnsiTheme="majorHAnsi" w:cstheme="majorHAnsi"/>
          <w:lang w:val="en-US"/>
        </w:rPr>
      </w:pPr>
      <w:r w:rsidRPr="004D6BC8">
        <w:rPr>
          <w:rStyle w:val="Funotenzeichen"/>
          <w:rFonts w:asciiTheme="majorHAnsi" w:hAnsiTheme="majorHAnsi" w:cstheme="majorHAnsi"/>
        </w:rPr>
        <w:footnoteRef/>
      </w:r>
      <w:r w:rsidRPr="004D6BC8">
        <w:rPr>
          <w:rFonts w:asciiTheme="majorHAnsi" w:hAnsiTheme="majorHAnsi" w:cstheme="majorHAnsi"/>
        </w:rPr>
        <w:t xml:space="preserve"> </w:t>
      </w:r>
      <w:r w:rsidRPr="004D6BC8">
        <w:rPr>
          <w:rFonts w:asciiTheme="majorHAnsi" w:hAnsiTheme="majorHAnsi" w:cstheme="majorHAnsi"/>
          <w:lang w:val="en-US"/>
        </w:rPr>
        <w:t>EDMS is hosted by CERN. Measures need to be put in place to ensure compliance with EU data protection and export control.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A81" w:rsidRDefault="003C5A81">
    <w:pPr>
      <w:pStyle w:val="Kopfzeile"/>
      <w:tabs>
        <w:tab w:val="clear" w:pos="4819"/>
        <w:tab w:val="clear" w:pos="9071"/>
        <w:tab w:val="right" w:pos="10773"/>
      </w:tabs>
      <w:rPr>
        <w:rFonts w:ascii="Times New Roman" w:hAnsi="Times New Roman"/>
        <w:i/>
        <w:iCs/>
      </w:rPr>
    </w:pPr>
  </w:p>
  <w:p w:rsidR="003C5A81" w:rsidRPr="009E0F8A" w:rsidRDefault="003C5A81" w:rsidP="0043270B">
    <w:r>
      <w:rPr>
        <w:iCs/>
      </w:rPr>
      <w:t>D2.3</w:t>
    </w:r>
    <w:r w:rsidRPr="0043270B">
      <w:tab/>
    </w:r>
    <w:r>
      <w:tab/>
    </w:r>
    <w:r>
      <w:tab/>
    </w:r>
    <w:r>
      <w:tab/>
    </w:r>
    <w:r>
      <w:tab/>
    </w:r>
    <w:r w:rsidRPr="009E0F8A">
      <w:rPr>
        <w:lang w:val="en-GB"/>
      </w:rPr>
      <w:t>Procedure of evaluation of in-kind contributions and their monitoring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jc w:val="center"/>
      <w:tblLook w:val="00A0" w:firstRow="1" w:lastRow="0" w:firstColumn="1" w:lastColumn="0" w:noHBand="0" w:noVBand="0"/>
    </w:tblPr>
    <w:tblGrid>
      <w:gridCol w:w="9811"/>
    </w:tblGrid>
    <w:tr w:rsidR="003C5A81" w:rsidTr="00F46286">
      <w:trPr>
        <w:jc w:val="center"/>
      </w:trPr>
      <w:tc>
        <w:tcPr>
          <w:tcW w:w="9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C5A81" w:rsidRDefault="003C5A81" w:rsidP="004A3F58">
          <w:pPr>
            <w:pStyle w:val="Kopfzeile"/>
            <w:ind w:left="2127"/>
            <w:jc w:val="right"/>
          </w:pPr>
          <w:r>
            <w:rPr>
              <w:noProof/>
              <w:lang w:val="de-DE" w:eastAsia="de-DE" w:bidi="ar-SA"/>
            </w:rPr>
            <w:drawing>
              <wp:inline distT="0" distB="0" distL="0" distR="0">
                <wp:extent cx="1219200" cy="1283208"/>
                <wp:effectExtent l="19050" t="0" r="0" b="0"/>
                <wp:docPr id="1" name="Image 0" descr="logo_IDEAAL_moy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DEAAL_moyen.jpg"/>
                        <pic:cNvPicPr/>
                      </pic:nvPicPr>
                      <pic:blipFill>
                        <a:blip r:embed="rId1"/>
                        <a:stretch>
                          <a:fillRect/>
                        </a:stretch>
                      </pic:blipFill>
                      <pic:spPr>
                        <a:xfrm>
                          <a:off x="0" y="0"/>
                          <a:ext cx="1219200" cy="1283208"/>
                        </a:xfrm>
                        <a:prstGeom prst="rect">
                          <a:avLst/>
                        </a:prstGeom>
                      </pic:spPr>
                    </pic:pic>
                  </a:graphicData>
                </a:graphic>
              </wp:inline>
            </w:drawing>
          </w:r>
        </w:p>
      </w:tc>
    </w:tr>
  </w:tbl>
  <w:p w:rsidR="003C5A81" w:rsidRPr="00831F83" w:rsidRDefault="003C5A81">
    <w:pPr>
      <w:pStyle w:val="Kopfzeile"/>
      <w:rPr>
        <w:rFonts w:ascii="Times New Roman" w:hAnsi="Times New Roman"/>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A620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B2D66EE"/>
    <w:multiLevelType w:val="hybridMultilevel"/>
    <w:tmpl w:val="14205B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10A5D8C"/>
    <w:multiLevelType w:val="hybridMultilevel"/>
    <w:tmpl w:val="04AEDF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9D249B4"/>
    <w:multiLevelType w:val="hybridMultilevel"/>
    <w:tmpl w:val="712C2C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BAE25C5"/>
    <w:multiLevelType w:val="hybridMultilevel"/>
    <w:tmpl w:val="DCB802E8"/>
    <w:lvl w:ilvl="0" w:tplc="7EDE6736">
      <w:numFmt w:val="bullet"/>
      <w:lvlText w:val="-"/>
      <w:lvlJc w:val="left"/>
      <w:pPr>
        <w:ind w:left="360" w:hanging="360"/>
      </w:pPr>
      <w:rPr>
        <w:rFonts w:ascii="Calibri" w:eastAsiaTheme="minorHAnsi" w:hAnsi="Calibri" w:cstheme="minorBidi" w:hint="default"/>
      </w:rPr>
    </w:lvl>
    <w:lvl w:ilvl="1" w:tplc="040C0001">
      <w:start w:val="1"/>
      <w:numFmt w:val="bullet"/>
      <w:lvlText w:val=""/>
      <w:lvlJc w:val="left"/>
      <w:pPr>
        <w:ind w:left="1080" w:hanging="360"/>
      </w:pPr>
      <w:rPr>
        <w:rFonts w:ascii="Symbol" w:hAnsi="Symbol" w:hint="default"/>
      </w:rPr>
    </w:lvl>
    <w:lvl w:ilvl="2" w:tplc="7EDE6736">
      <w:numFmt w:val="bullet"/>
      <w:lvlText w:val="-"/>
      <w:lvlJc w:val="left"/>
      <w:pPr>
        <w:ind w:left="1980" w:hanging="360"/>
      </w:pPr>
      <w:rPr>
        <w:rFonts w:ascii="Calibri" w:eastAsiaTheme="minorHAnsi" w:hAnsi="Calibri" w:cstheme="minorBidi" w:hint="default"/>
      </w:r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52A00B32"/>
    <w:multiLevelType w:val="hybridMultilevel"/>
    <w:tmpl w:val="D9DA1494"/>
    <w:lvl w:ilvl="0" w:tplc="A128FFFA">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3B466D1"/>
    <w:multiLevelType w:val="hybridMultilevel"/>
    <w:tmpl w:val="4E022D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6BF24B1"/>
    <w:multiLevelType w:val="hybridMultilevel"/>
    <w:tmpl w:val="A1A242EC"/>
    <w:lvl w:ilvl="0" w:tplc="C95EC084">
      <w:start w:val="2"/>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8090017">
      <w:start w:val="1"/>
      <w:numFmt w:val="lowerLetter"/>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DA1335E"/>
    <w:multiLevelType w:val="hybridMultilevel"/>
    <w:tmpl w:val="B0AE77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4C77BEC"/>
    <w:multiLevelType w:val="hybridMultilevel"/>
    <w:tmpl w:val="C4B83C5E"/>
    <w:lvl w:ilvl="0" w:tplc="4866F870">
      <w:start w:val="20"/>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E230366"/>
    <w:multiLevelType w:val="hybridMultilevel"/>
    <w:tmpl w:val="0554B5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EFB72FC"/>
    <w:multiLevelType w:val="hybridMultilevel"/>
    <w:tmpl w:val="EC54EB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2212301"/>
    <w:multiLevelType w:val="hybridMultilevel"/>
    <w:tmpl w:val="35F696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459455E"/>
    <w:multiLevelType w:val="hybridMultilevel"/>
    <w:tmpl w:val="B38CA5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4F950CD"/>
    <w:multiLevelType w:val="hybridMultilevel"/>
    <w:tmpl w:val="9EB4D9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8EA00A2"/>
    <w:multiLevelType w:val="hybridMultilevel"/>
    <w:tmpl w:val="9904CB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A11271B"/>
    <w:multiLevelType w:val="hybridMultilevel"/>
    <w:tmpl w:val="FFB44D8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C412066"/>
    <w:multiLevelType w:val="hybridMultilevel"/>
    <w:tmpl w:val="451212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3"/>
  </w:num>
  <w:num w:numId="3">
    <w:abstractNumId w:val="5"/>
  </w:num>
  <w:num w:numId="4">
    <w:abstractNumId w:val="13"/>
  </w:num>
  <w:num w:numId="5">
    <w:abstractNumId w:val="6"/>
  </w:num>
  <w:num w:numId="6">
    <w:abstractNumId w:val="10"/>
  </w:num>
  <w:num w:numId="7">
    <w:abstractNumId w:val="12"/>
  </w:num>
  <w:num w:numId="8">
    <w:abstractNumId w:val="2"/>
  </w:num>
  <w:num w:numId="9">
    <w:abstractNumId w:val="4"/>
  </w:num>
  <w:num w:numId="10">
    <w:abstractNumId w:val="14"/>
  </w:num>
  <w:num w:numId="11">
    <w:abstractNumId w:val="15"/>
  </w:num>
  <w:num w:numId="12">
    <w:abstractNumId w:val="1"/>
  </w:num>
  <w:num w:numId="13">
    <w:abstractNumId w:val="16"/>
  </w:num>
  <w:num w:numId="14">
    <w:abstractNumId w:val="17"/>
  </w:num>
  <w:num w:numId="15">
    <w:abstractNumId w:val="8"/>
  </w:num>
  <w:num w:numId="16">
    <w:abstractNumId w:val="7"/>
  </w:num>
  <w:num w:numId="17">
    <w:abstractNumId w:val="0"/>
  </w:num>
  <w:num w:numId="18">
    <w:abstractNumId w:val="0"/>
    <w:lvlOverride w:ilvl="0">
      <w:lvl w:ilvl="0">
        <w:start w:val="1"/>
        <w:numFmt w:val="decimal"/>
        <w:lvlText w:val="ARTICLE %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embedSystemFonts/>
  <w:defaultTabStop w:val="709"/>
  <w:hyphenationZone w:val="425"/>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0BE"/>
    <w:rsid w:val="00010A78"/>
    <w:rsid w:val="00011F61"/>
    <w:rsid w:val="00013450"/>
    <w:rsid w:val="000151EB"/>
    <w:rsid w:val="00015C3B"/>
    <w:rsid w:val="000227CB"/>
    <w:rsid w:val="000251AA"/>
    <w:rsid w:val="000308C6"/>
    <w:rsid w:val="00040316"/>
    <w:rsid w:val="000429B8"/>
    <w:rsid w:val="000434CC"/>
    <w:rsid w:val="0004639B"/>
    <w:rsid w:val="00050482"/>
    <w:rsid w:val="00050BFA"/>
    <w:rsid w:val="0005386D"/>
    <w:rsid w:val="00062278"/>
    <w:rsid w:val="00062F67"/>
    <w:rsid w:val="000632EA"/>
    <w:rsid w:val="0006555E"/>
    <w:rsid w:val="00074B7F"/>
    <w:rsid w:val="000757B5"/>
    <w:rsid w:val="00076826"/>
    <w:rsid w:val="000770F9"/>
    <w:rsid w:val="000853AF"/>
    <w:rsid w:val="0009300B"/>
    <w:rsid w:val="000943B4"/>
    <w:rsid w:val="00094FF3"/>
    <w:rsid w:val="0009551E"/>
    <w:rsid w:val="000A5574"/>
    <w:rsid w:val="000B50BD"/>
    <w:rsid w:val="000B6DDC"/>
    <w:rsid w:val="000C6BB6"/>
    <w:rsid w:val="000D1D12"/>
    <w:rsid w:val="000E408D"/>
    <w:rsid w:val="000F1C30"/>
    <w:rsid w:val="000F60CD"/>
    <w:rsid w:val="000F6FBB"/>
    <w:rsid w:val="000F7CAC"/>
    <w:rsid w:val="00113EF2"/>
    <w:rsid w:val="00114CC0"/>
    <w:rsid w:val="00120531"/>
    <w:rsid w:val="0012055F"/>
    <w:rsid w:val="001223B6"/>
    <w:rsid w:val="001237B1"/>
    <w:rsid w:val="00130A9A"/>
    <w:rsid w:val="0013137C"/>
    <w:rsid w:val="001319CE"/>
    <w:rsid w:val="00133684"/>
    <w:rsid w:val="001338FE"/>
    <w:rsid w:val="001349BF"/>
    <w:rsid w:val="001366A2"/>
    <w:rsid w:val="0014148A"/>
    <w:rsid w:val="00142AED"/>
    <w:rsid w:val="0015098E"/>
    <w:rsid w:val="0016040C"/>
    <w:rsid w:val="00162277"/>
    <w:rsid w:val="00165DBF"/>
    <w:rsid w:val="00166B09"/>
    <w:rsid w:val="00166CA1"/>
    <w:rsid w:val="0017094B"/>
    <w:rsid w:val="00170F2B"/>
    <w:rsid w:val="00176936"/>
    <w:rsid w:val="00181AFB"/>
    <w:rsid w:val="001832C8"/>
    <w:rsid w:val="00186652"/>
    <w:rsid w:val="00192572"/>
    <w:rsid w:val="0019258D"/>
    <w:rsid w:val="001A2EA8"/>
    <w:rsid w:val="001A3AAA"/>
    <w:rsid w:val="001A4EFA"/>
    <w:rsid w:val="001B04D6"/>
    <w:rsid w:val="001B4931"/>
    <w:rsid w:val="001B7F53"/>
    <w:rsid w:val="001C520E"/>
    <w:rsid w:val="001C6BF1"/>
    <w:rsid w:val="001D112A"/>
    <w:rsid w:val="001E19A3"/>
    <w:rsid w:val="001E346D"/>
    <w:rsid w:val="001E5841"/>
    <w:rsid w:val="001E6812"/>
    <w:rsid w:val="001E758A"/>
    <w:rsid w:val="001F198E"/>
    <w:rsid w:val="001F3C64"/>
    <w:rsid w:val="001F414B"/>
    <w:rsid w:val="001F4B73"/>
    <w:rsid w:val="001F4E3D"/>
    <w:rsid w:val="001F5D1A"/>
    <w:rsid w:val="00201B98"/>
    <w:rsid w:val="00207C8E"/>
    <w:rsid w:val="00212401"/>
    <w:rsid w:val="0021289B"/>
    <w:rsid w:val="00213092"/>
    <w:rsid w:val="0022008E"/>
    <w:rsid w:val="002215CB"/>
    <w:rsid w:val="00222C5A"/>
    <w:rsid w:val="002275C4"/>
    <w:rsid w:val="00233D8D"/>
    <w:rsid w:val="002358E8"/>
    <w:rsid w:val="002424EF"/>
    <w:rsid w:val="00242EB8"/>
    <w:rsid w:val="00245539"/>
    <w:rsid w:val="00245C33"/>
    <w:rsid w:val="0024621C"/>
    <w:rsid w:val="002505E5"/>
    <w:rsid w:val="00253066"/>
    <w:rsid w:val="00276C96"/>
    <w:rsid w:val="0028379D"/>
    <w:rsid w:val="00286AF0"/>
    <w:rsid w:val="00287F2E"/>
    <w:rsid w:val="00291318"/>
    <w:rsid w:val="00297A6F"/>
    <w:rsid w:val="002A3E60"/>
    <w:rsid w:val="002A4E37"/>
    <w:rsid w:val="002B3C48"/>
    <w:rsid w:val="002B4AFF"/>
    <w:rsid w:val="002B66B0"/>
    <w:rsid w:val="002B6784"/>
    <w:rsid w:val="002C16F8"/>
    <w:rsid w:val="002C2E42"/>
    <w:rsid w:val="002D15FB"/>
    <w:rsid w:val="002D28E6"/>
    <w:rsid w:val="002D369F"/>
    <w:rsid w:val="002D3B4C"/>
    <w:rsid w:val="002D49CD"/>
    <w:rsid w:val="002E4F21"/>
    <w:rsid w:val="002F3CB3"/>
    <w:rsid w:val="002F5E46"/>
    <w:rsid w:val="00302272"/>
    <w:rsid w:val="003047F3"/>
    <w:rsid w:val="00306185"/>
    <w:rsid w:val="00314462"/>
    <w:rsid w:val="003214E5"/>
    <w:rsid w:val="003238AF"/>
    <w:rsid w:val="00325069"/>
    <w:rsid w:val="00326DA9"/>
    <w:rsid w:val="00327ED5"/>
    <w:rsid w:val="003345FC"/>
    <w:rsid w:val="00334E3A"/>
    <w:rsid w:val="003449DA"/>
    <w:rsid w:val="00347268"/>
    <w:rsid w:val="00351CD6"/>
    <w:rsid w:val="003566B1"/>
    <w:rsid w:val="00363857"/>
    <w:rsid w:val="00363F6C"/>
    <w:rsid w:val="003643EA"/>
    <w:rsid w:val="00367DCE"/>
    <w:rsid w:val="00370430"/>
    <w:rsid w:val="003769D6"/>
    <w:rsid w:val="0038052D"/>
    <w:rsid w:val="003B3A7A"/>
    <w:rsid w:val="003C38A7"/>
    <w:rsid w:val="003C5A81"/>
    <w:rsid w:val="003D0912"/>
    <w:rsid w:val="003D3EC1"/>
    <w:rsid w:val="003D41F6"/>
    <w:rsid w:val="003D435F"/>
    <w:rsid w:val="003D5621"/>
    <w:rsid w:val="003F3565"/>
    <w:rsid w:val="003F683D"/>
    <w:rsid w:val="003F73F3"/>
    <w:rsid w:val="0040036A"/>
    <w:rsid w:val="004055AF"/>
    <w:rsid w:val="00405F5B"/>
    <w:rsid w:val="00415619"/>
    <w:rsid w:val="00416CA0"/>
    <w:rsid w:val="00420B54"/>
    <w:rsid w:val="004218F3"/>
    <w:rsid w:val="00425780"/>
    <w:rsid w:val="0043270B"/>
    <w:rsid w:val="0043277C"/>
    <w:rsid w:val="0043588B"/>
    <w:rsid w:val="0043671A"/>
    <w:rsid w:val="004528B6"/>
    <w:rsid w:val="00457FC2"/>
    <w:rsid w:val="00463887"/>
    <w:rsid w:val="004646C7"/>
    <w:rsid w:val="00465890"/>
    <w:rsid w:val="004677C7"/>
    <w:rsid w:val="004724BF"/>
    <w:rsid w:val="00473156"/>
    <w:rsid w:val="00474CE0"/>
    <w:rsid w:val="00481C44"/>
    <w:rsid w:val="00482986"/>
    <w:rsid w:val="0048380A"/>
    <w:rsid w:val="00483FE6"/>
    <w:rsid w:val="004845FF"/>
    <w:rsid w:val="00485827"/>
    <w:rsid w:val="004860E2"/>
    <w:rsid w:val="004961C9"/>
    <w:rsid w:val="004A145C"/>
    <w:rsid w:val="004A2CF4"/>
    <w:rsid w:val="004A3F58"/>
    <w:rsid w:val="004B000F"/>
    <w:rsid w:val="004B0099"/>
    <w:rsid w:val="004B6644"/>
    <w:rsid w:val="004C1A81"/>
    <w:rsid w:val="004D1B53"/>
    <w:rsid w:val="004D2572"/>
    <w:rsid w:val="004D6BC8"/>
    <w:rsid w:val="004E1C47"/>
    <w:rsid w:val="004E7F4A"/>
    <w:rsid w:val="004F3F53"/>
    <w:rsid w:val="004F5EA8"/>
    <w:rsid w:val="00500BC5"/>
    <w:rsid w:val="00502BCD"/>
    <w:rsid w:val="005048F4"/>
    <w:rsid w:val="00510976"/>
    <w:rsid w:val="00516D93"/>
    <w:rsid w:val="00521379"/>
    <w:rsid w:val="00522A7A"/>
    <w:rsid w:val="00523A23"/>
    <w:rsid w:val="00524823"/>
    <w:rsid w:val="00525842"/>
    <w:rsid w:val="00530294"/>
    <w:rsid w:val="005378C7"/>
    <w:rsid w:val="00551213"/>
    <w:rsid w:val="00554AA9"/>
    <w:rsid w:val="00555934"/>
    <w:rsid w:val="00556316"/>
    <w:rsid w:val="00560825"/>
    <w:rsid w:val="005645F7"/>
    <w:rsid w:val="00564E49"/>
    <w:rsid w:val="00565E31"/>
    <w:rsid w:val="0056617F"/>
    <w:rsid w:val="005677C1"/>
    <w:rsid w:val="005677CF"/>
    <w:rsid w:val="00570558"/>
    <w:rsid w:val="00585240"/>
    <w:rsid w:val="00587FE8"/>
    <w:rsid w:val="00597ADE"/>
    <w:rsid w:val="00597E38"/>
    <w:rsid w:val="005A21F1"/>
    <w:rsid w:val="005A4FFA"/>
    <w:rsid w:val="005B0CE6"/>
    <w:rsid w:val="005B100B"/>
    <w:rsid w:val="005B2D39"/>
    <w:rsid w:val="005B3FCA"/>
    <w:rsid w:val="005C4E5F"/>
    <w:rsid w:val="005C5EA7"/>
    <w:rsid w:val="005C5F79"/>
    <w:rsid w:val="005C797D"/>
    <w:rsid w:val="005D3D3B"/>
    <w:rsid w:val="005D5AC9"/>
    <w:rsid w:val="005D65F3"/>
    <w:rsid w:val="005E6C00"/>
    <w:rsid w:val="005E724E"/>
    <w:rsid w:val="005E761E"/>
    <w:rsid w:val="005F4359"/>
    <w:rsid w:val="00600448"/>
    <w:rsid w:val="00601D20"/>
    <w:rsid w:val="00602DDE"/>
    <w:rsid w:val="00610632"/>
    <w:rsid w:val="00612DE6"/>
    <w:rsid w:val="00612ED7"/>
    <w:rsid w:val="0061506E"/>
    <w:rsid w:val="00617819"/>
    <w:rsid w:val="0062164E"/>
    <w:rsid w:val="006272C3"/>
    <w:rsid w:val="00634069"/>
    <w:rsid w:val="00644255"/>
    <w:rsid w:val="00645976"/>
    <w:rsid w:val="006502F8"/>
    <w:rsid w:val="00650CB9"/>
    <w:rsid w:val="00651553"/>
    <w:rsid w:val="006540A7"/>
    <w:rsid w:val="00664AAA"/>
    <w:rsid w:val="00667C67"/>
    <w:rsid w:val="00670956"/>
    <w:rsid w:val="00670EFB"/>
    <w:rsid w:val="006715DC"/>
    <w:rsid w:val="006744CE"/>
    <w:rsid w:val="0067719E"/>
    <w:rsid w:val="00677B8A"/>
    <w:rsid w:val="00681D07"/>
    <w:rsid w:val="006839E5"/>
    <w:rsid w:val="006A0353"/>
    <w:rsid w:val="006A1404"/>
    <w:rsid w:val="006A5B30"/>
    <w:rsid w:val="006A677F"/>
    <w:rsid w:val="006B09D7"/>
    <w:rsid w:val="006B3F4E"/>
    <w:rsid w:val="006B6A0E"/>
    <w:rsid w:val="006C1AEA"/>
    <w:rsid w:val="006D22B3"/>
    <w:rsid w:val="006D60C1"/>
    <w:rsid w:val="006D69D8"/>
    <w:rsid w:val="006D6F45"/>
    <w:rsid w:val="006E2239"/>
    <w:rsid w:val="006E271C"/>
    <w:rsid w:val="006E3778"/>
    <w:rsid w:val="006F0969"/>
    <w:rsid w:val="006F1449"/>
    <w:rsid w:val="006F1F75"/>
    <w:rsid w:val="006F221F"/>
    <w:rsid w:val="006F4630"/>
    <w:rsid w:val="006F63DF"/>
    <w:rsid w:val="006F6412"/>
    <w:rsid w:val="00702409"/>
    <w:rsid w:val="0070743E"/>
    <w:rsid w:val="00707B7C"/>
    <w:rsid w:val="007105B2"/>
    <w:rsid w:val="00710DA7"/>
    <w:rsid w:val="00710F5B"/>
    <w:rsid w:val="007110CB"/>
    <w:rsid w:val="0071352D"/>
    <w:rsid w:val="00716C3F"/>
    <w:rsid w:val="0071767B"/>
    <w:rsid w:val="00740286"/>
    <w:rsid w:val="00742377"/>
    <w:rsid w:val="00742DE2"/>
    <w:rsid w:val="00752F0C"/>
    <w:rsid w:val="007536F1"/>
    <w:rsid w:val="00760FE4"/>
    <w:rsid w:val="00761823"/>
    <w:rsid w:val="0076235E"/>
    <w:rsid w:val="007672B3"/>
    <w:rsid w:val="00770B15"/>
    <w:rsid w:val="0077420F"/>
    <w:rsid w:val="007760DE"/>
    <w:rsid w:val="007762DC"/>
    <w:rsid w:val="00776831"/>
    <w:rsid w:val="00777111"/>
    <w:rsid w:val="0078115E"/>
    <w:rsid w:val="00781C78"/>
    <w:rsid w:val="00785048"/>
    <w:rsid w:val="00792DDD"/>
    <w:rsid w:val="00795224"/>
    <w:rsid w:val="007969B1"/>
    <w:rsid w:val="00796F60"/>
    <w:rsid w:val="007A2799"/>
    <w:rsid w:val="007A31E8"/>
    <w:rsid w:val="007A3475"/>
    <w:rsid w:val="007A7966"/>
    <w:rsid w:val="007B4E87"/>
    <w:rsid w:val="007C1916"/>
    <w:rsid w:val="007C2E9D"/>
    <w:rsid w:val="007C74CC"/>
    <w:rsid w:val="007E0142"/>
    <w:rsid w:val="007E18C7"/>
    <w:rsid w:val="007E1D14"/>
    <w:rsid w:val="007E428D"/>
    <w:rsid w:val="007E6646"/>
    <w:rsid w:val="007F1065"/>
    <w:rsid w:val="007F3C24"/>
    <w:rsid w:val="007F59AC"/>
    <w:rsid w:val="00800097"/>
    <w:rsid w:val="0080132B"/>
    <w:rsid w:val="00804435"/>
    <w:rsid w:val="00810D97"/>
    <w:rsid w:val="00812162"/>
    <w:rsid w:val="0081296A"/>
    <w:rsid w:val="008212BF"/>
    <w:rsid w:val="00826930"/>
    <w:rsid w:val="00831F83"/>
    <w:rsid w:val="008353B8"/>
    <w:rsid w:val="00837525"/>
    <w:rsid w:val="008414B0"/>
    <w:rsid w:val="008416B1"/>
    <w:rsid w:val="00843570"/>
    <w:rsid w:val="00846051"/>
    <w:rsid w:val="008554F6"/>
    <w:rsid w:val="00857F2C"/>
    <w:rsid w:val="00862459"/>
    <w:rsid w:val="00862F27"/>
    <w:rsid w:val="008636BF"/>
    <w:rsid w:val="00864054"/>
    <w:rsid w:val="008654E4"/>
    <w:rsid w:val="008672BC"/>
    <w:rsid w:val="00876006"/>
    <w:rsid w:val="0088257C"/>
    <w:rsid w:val="00882672"/>
    <w:rsid w:val="00891DCF"/>
    <w:rsid w:val="0089377B"/>
    <w:rsid w:val="00893AE2"/>
    <w:rsid w:val="00893F25"/>
    <w:rsid w:val="008943A9"/>
    <w:rsid w:val="00897547"/>
    <w:rsid w:val="0089778A"/>
    <w:rsid w:val="008A213D"/>
    <w:rsid w:val="008B1B35"/>
    <w:rsid w:val="008B1CF2"/>
    <w:rsid w:val="008B42A6"/>
    <w:rsid w:val="008B4FE4"/>
    <w:rsid w:val="008C09AB"/>
    <w:rsid w:val="008C3B6A"/>
    <w:rsid w:val="008C68D4"/>
    <w:rsid w:val="008C6A6C"/>
    <w:rsid w:val="008D35A0"/>
    <w:rsid w:val="008D69C6"/>
    <w:rsid w:val="008D7FBC"/>
    <w:rsid w:val="008E2CB7"/>
    <w:rsid w:val="008E6427"/>
    <w:rsid w:val="008F179F"/>
    <w:rsid w:val="008F4833"/>
    <w:rsid w:val="008F5B8E"/>
    <w:rsid w:val="008F6FC1"/>
    <w:rsid w:val="00900DBB"/>
    <w:rsid w:val="00903992"/>
    <w:rsid w:val="00905636"/>
    <w:rsid w:val="009059B5"/>
    <w:rsid w:val="009079BB"/>
    <w:rsid w:val="00907B07"/>
    <w:rsid w:val="0091526A"/>
    <w:rsid w:val="0092527C"/>
    <w:rsid w:val="00925627"/>
    <w:rsid w:val="009313D2"/>
    <w:rsid w:val="0094087E"/>
    <w:rsid w:val="00943845"/>
    <w:rsid w:val="00943C78"/>
    <w:rsid w:val="00946670"/>
    <w:rsid w:val="009471AC"/>
    <w:rsid w:val="009479FB"/>
    <w:rsid w:val="009547CE"/>
    <w:rsid w:val="00954888"/>
    <w:rsid w:val="00956894"/>
    <w:rsid w:val="009716A4"/>
    <w:rsid w:val="00977B61"/>
    <w:rsid w:val="00980015"/>
    <w:rsid w:val="00980A22"/>
    <w:rsid w:val="00981B39"/>
    <w:rsid w:val="00987E6F"/>
    <w:rsid w:val="00991733"/>
    <w:rsid w:val="00994227"/>
    <w:rsid w:val="009A0872"/>
    <w:rsid w:val="009A4764"/>
    <w:rsid w:val="009A4D7A"/>
    <w:rsid w:val="009B3788"/>
    <w:rsid w:val="009C2FF9"/>
    <w:rsid w:val="009C5091"/>
    <w:rsid w:val="009C7C11"/>
    <w:rsid w:val="009D4EDF"/>
    <w:rsid w:val="009E0F8A"/>
    <w:rsid w:val="009E19DE"/>
    <w:rsid w:val="009E6CFE"/>
    <w:rsid w:val="009E6F1A"/>
    <w:rsid w:val="009F18A1"/>
    <w:rsid w:val="00A062E5"/>
    <w:rsid w:val="00A147FC"/>
    <w:rsid w:val="00A15B4C"/>
    <w:rsid w:val="00A222D8"/>
    <w:rsid w:val="00A27F26"/>
    <w:rsid w:val="00A30A0A"/>
    <w:rsid w:val="00A33245"/>
    <w:rsid w:val="00A3565F"/>
    <w:rsid w:val="00A405D5"/>
    <w:rsid w:val="00A44BE1"/>
    <w:rsid w:val="00A45AB9"/>
    <w:rsid w:val="00A47773"/>
    <w:rsid w:val="00A5009E"/>
    <w:rsid w:val="00A5731E"/>
    <w:rsid w:val="00A636E0"/>
    <w:rsid w:val="00A6623A"/>
    <w:rsid w:val="00A66370"/>
    <w:rsid w:val="00A67E12"/>
    <w:rsid w:val="00A71C38"/>
    <w:rsid w:val="00A7253A"/>
    <w:rsid w:val="00A745AD"/>
    <w:rsid w:val="00A83231"/>
    <w:rsid w:val="00A8340C"/>
    <w:rsid w:val="00A837CC"/>
    <w:rsid w:val="00A84BCC"/>
    <w:rsid w:val="00A85111"/>
    <w:rsid w:val="00A90445"/>
    <w:rsid w:val="00A9477C"/>
    <w:rsid w:val="00A968E8"/>
    <w:rsid w:val="00A97B0C"/>
    <w:rsid w:val="00A97DC7"/>
    <w:rsid w:val="00AA00E2"/>
    <w:rsid w:val="00AA29AA"/>
    <w:rsid w:val="00AA79A7"/>
    <w:rsid w:val="00AB25FB"/>
    <w:rsid w:val="00AB2D25"/>
    <w:rsid w:val="00AB5E23"/>
    <w:rsid w:val="00AB7207"/>
    <w:rsid w:val="00AC2DFE"/>
    <w:rsid w:val="00AD1582"/>
    <w:rsid w:val="00AD1767"/>
    <w:rsid w:val="00AD18AB"/>
    <w:rsid w:val="00AD39AD"/>
    <w:rsid w:val="00AE29C3"/>
    <w:rsid w:val="00AE49CE"/>
    <w:rsid w:val="00AE5466"/>
    <w:rsid w:val="00AF2A43"/>
    <w:rsid w:val="00AF7AED"/>
    <w:rsid w:val="00B01711"/>
    <w:rsid w:val="00B0319B"/>
    <w:rsid w:val="00B05407"/>
    <w:rsid w:val="00B10FE5"/>
    <w:rsid w:val="00B150BE"/>
    <w:rsid w:val="00B15695"/>
    <w:rsid w:val="00B22B25"/>
    <w:rsid w:val="00B279AE"/>
    <w:rsid w:val="00B27ABA"/>
    <w:rsid w:val="00B325B1"/>
    <w:rsid w:val="00B33E05"/>
    <w:rsid w:val="00B361FA"/>
    <w:rsid w:val="00B36828"/>
    <w:rsid w:val="00B36C5B"/>
    <w:rsid w:val="00B45B73"/>
    <w:rsid w:val="00B52546"/>
    <w:rsid w:val="00B5259F"/>
    <w:rsid w:val="00B53E6A"/>
    <w:rsid w:val="00B57626"/>
    <w:rsid w:val="00B60433"/>
    <w:rsid w:val="00B62124"/>
    <w:rsid w:val="00B6251D"/>
    <w:rsid w:val="00B72CDC"/>
    <w:rsid w:val="00B81107"/>
    <w:rsid w:val="00B816EA"/>
    <w:rsid w:val="00B86A2A"/>
    <w:rsid w:val="00B9164B"/>
    <w:rsid w:val="00BA61FE"/>
    <w:rsid w:val="00BA75F4"/>
    <w:rsid w:val="00BA78AA"/>
    <w:rsid w:val="00BB3EF4"/>
    <w:rsid w:val="00BC4191"/>
    <w:rsid w:val="00BC45F4"/>
    <w:rsid w:val="00BC501B"/>
    <w:rsid w:val="00BC6E30"/>
    <w:rsid w:val="00BD416D"/>
    <w:rsid w:val="00BD62A8"/>
    <w:rsid w:val="00BD7394"/>
    <w:rsid w:val="00BE7F2F"/>
    <w:rsid w:val="00BF0CBC"/>
    <w:rsid w:val="00BF7E93"/>
    <w:rsid w:val="00C008F9"/>
    <w:rsid w:val="00C020E1"/>
    <w:rsid w:val="00C02987"/>
    <w:rsid w:val="00C05FC7"/>
    <w:rsid w:val="00C06F49"/>
    <w:rsid w:val="00C07862"/>
    <w:rsid w:val="00C156EC"/>
    <w:rsid w:val="00C17DBD"/>
    <w:rsid w:val="00C30A3A"/>
    <w:rsid w:val="00C30D4D"/>
    <w:rsid w:val="00C31338"/>
    <w:rsid w:val="00C37C73"/>
    <w:rsid w:val="00C415AE"/>
    <w:rsid w:val="00C42A69"/>
    <w:rsid w:val="00C50DCB"/>
    <w:rsid w:val="00C51609"/>
    <w:rsid w:val="00C53F92"/>
    <w:rsid w:val="00C61774"/>
    <w:rsid w:val="00C6196A"/>
    <w:rsid w:val="00C647E1"/>
    <w:rsid w:val="00C66EF3"/>
    <w:rsid w:val="00C676CD"/>
    <w:rsid w:val="00C70D6D"/>
    <w:rsid w:val="00C71C6C"/>
    <w:rsid w:val="00C77CAD"/>
    <w:rsid w:val="00C82E8A"/>
    <w:rsid w:val="00C87680"/>
    <w:rsid w:val="00C93005"/>
    <w:rsid w:val="00C95572"/>
    <w:rsid w:val="00CA460D"/>
    <w:rsid w:val="00CA7162"/>
    <w:rsid w:val="00CA791B"/>
    <w:rsid w:val="00CB068C"/>
    <w:rsid w:val="00CB1553"/>
    <w:rsid w:val="00CB46EE"/>
    <w:rsid w:val="00CB4BB7"/>
    <w:rsid w:val="00CB5782"/>
    <w:rsid w:val="00CC21C8"/>
    <w:rsid w:val="00CC574A"/>
    <w:rsid w:val="00CC6230"/>
    <w:rsid w:val="00CD04E2"/>
    <w:rsid w:val="00CD0C74"/>
    <w:rsid w:val="00CD0F77"/>
    <w:rsid w:val="00CD54E7"/>
    <w:rsid w:val="00CD6785"/>
    <w:rsid w:val="00CD6D0D"/>
    <w:rsid w:val="00CE095F"/>
    <w:rsid w:val="00CE1485"/>
    <w:rsid w:val="00CE682E"/>
    <w:rsid w:val="00CE6AC2"/>
    <w:rsid w:val="00D010B9"/>
    <w:rsid w:val="00D03C54"/>
    <w:rsid w:val="00D0612B"/>
    <w:rsid w:val="00D079DB"/>
    <w:rsid w:val="00D1348D"/>
    <w:rsid w:val="00D1404B"/>
    <w:rsid w:val="00D1617E"/>
    <w:rsid w:val="00D1756B"/>
    <w:rsid w:val="00D2047D"/>
    <w:rsid w:val="00D21E0D"/>
    <w:rsid w:val="00D229E7"/>
    <w:rsid w:val="00D25E3E"/>
    <w:rsid w:val="00D3003A"/>
    <w:rsid w:val="00D32A06"/>
    <w:rsid w:val="00D33122"/>
    <w:rsid w:val="00D34F23"/>
    <w:rsid w:val="00D458C1"/>
    <w:rsid w:val="00D46BA1"/>
    <w:rsid w:val="00D46FDD"/>
    <w:rsid w:val="00D5023F"/>
    <w:rsid w:val="00D50464"/>
    <w:rsid w:val="00D512F7"/>
    <w:rsid w:val="00D55990"/>
    <w:rsid w:val="00D5713B"/>
    <w:rsid w:val="00D6169E"/>
    <w:rsid w:val="00D6284F"/>
    <w:rsid w:val="00D66AE9"/>
    <w:rsid w:val="00D674B0"/>
    <w:rsid w:val="00D8040A"/>
    <w:rsid w:val="00D84F22"/>
    <w:rsid w:val="00D90604"/>
    <w:rsid w:val="00D91CE1"/>
    <w:rsid w:val="00DA0041"/>
    <w:rsid w:val="00DA60AE"/>
    <w:rsid w:val="00DB0FFE"/>
    <w:rsid w:val="00DB1980"/>
    <w:rsid w:val="00DB37E2"/>
    <w:rsid w:val="00DB4AC2"/>
    <w:rsid w:val="00DB55CB"/>
    <w:rsid w:val="00DB67F6"/>
    <w:rsid w:val="00DB713B"/>
    <w:rsid w:val="00DC3450"/>
    <w:rsid w:val="00DD158A"/>
    <w:rsid w:val="00DD1AB8"/>
    <w:rsid w:val="00DD489F"/>
    <w:rsid w:val="00DD5B9D"/>
    <w:rsid w:val="00DD62EF"/>
    <w:rsid w:val="00DD6B80"/>
    <w:rsid w:val="00DE2A61"/>
    <w:rsid w:val="00DF60B5"/>
    <w:rsid w:val="00E04562"/>
    <w:rsid w:val="00E06638"/>
    <w:rsid w:val="00E14D2F"/>
    <w:rsid w:val="00E14DA8"/>
    <w:rsid w:val="00E14FEE"/>
    <w:rsid w:val="00E1620D"/>
    <w:rsid w:val="00E201EB"/>
    <w:rsid w:val="00E22130"/>
    <w:rsid w:val="00E240CC"/>
    <w:rsid w:val="00E30CF8"/>
    <w:rsid w:val="00E3189F"/>
    <w:rsid w:val="00E32B63"/>
    <w:rsid w:val="00E34400"/>
    <w:rsid w:val="00E35390"/>
    <w:rsid w:val="00E42EA4"/>
    <w:rsid w:val="00E44390"/>
    <w:rsid w:val="00E466A5"/>
    <w:rsid w:val="00E46775"/>
    <w:rsid w:val="00E52A02"/>
    <w:rsid w:val="00E550F8"/>
    <w:rsid w:val="00E639F7"/>
    <w:rsid w:val="00E67AD8"/>
    <w:rsid w:val="00E7163B"/>
    <w:rsid w:val="00E72D67"/>
    <w:rsid w:val="00E7493D"/>
    <w:rsid w:val="00E76193"/>
    <w:rsid w:val="00E76E5A"/>
    <w:rsid w:val="00E76FBF"/>
    <w:rsid w:val="00E77C02"/>
    <w:rsid w:val="00E82FDD"/>
    <w:rsid w:val="00E8489F"/>
    <w:rsid w:val="00E86631"/>
    <w:rsid w:val="00E86CBC"/>
    <w:rsid w:val="00E926F1"/>
    <w:rsid w:val="00E933DE"/>
    <w:rsid w:val="00E94042"/>
    <w:rsid w:val="00EB034C"/>
    <w:rsid w:val="00EB51CD"/>
    <w:rsid w:val="00EB5C99"/>
    <w:rsid w:val="00EC2A39"/>
    <w:rsid w:val="00EC36F8"/>
    <w:rsid w:val="00ED13AD"/>
    <w:rsid w:val="00ED3068"/>
    <w:rsid w:val="00ED676E"/>
    <w:rsid w:val="00EE4102"/>
    <w:rsid w:val="00EE7D58"/>
    <w:rsid w:val="00EF1CAE"/>
    <w:rsid w:val="00F0088E"/>
    <w:rsid w:val="00F031EC"/>
    <w:rsid w:val="00F07BD1"/>
    <w:rsid w:val="00F1115A"/>
    <w:rsid w:val="00F1131B"/>
    <w:rsid w:val="00F13971"/>
    <w:rsid w:val="00F17F77"/>
    <w:rsid w:val="00F2433B"/>
    <w:rsid w:val="00F27520"/>
    <w:rsid w:val="00F3115B"/>
    <w:rsid w:val="00F36F5B"/>
    <w:rsid w:val="00F46286"/>
    <w:rsid w:val="00F50BFD"/>
    <w:rsid w:val="00F5439F"/>
    <w:rsid w:val="00F547E4"/>
    <w:rsid w:val="00F56FD9"/>
    <w:rsid w:val="00F65947"/>
    <w:rsid w:val="00F74792"/>
    <w:rsid w:val="00F77CEF"/>
    <w:rsid w:val="00F8695F"/>
    <w:rsid w:val="00F87F59"/>
    <w:rsid w:val="00F9106B"/>
    <w:rsid w:val="00F913CF"/>
    <w:rsid w:val="00F94DFE"/>
    <w:rsid w:val="00F95924"/>
    <w:rsid w:val="00FA0E51"/>
    <w:rsid w:val="00FA2A83"/>
    <w:rsid w:val="00FA48B2"/>
    <w:rsid w:val="00FB079B"/>
    <w:rsid w:val="00FB3EDF"/>
    <w:rsid w:val="00FB5B8E"/>
    <w:rsid w:val="00FC1336"/>
    <w:rsid w:val="00FC1D61"/>
    <w:rsid w:val="00FC669F"/>
    <w:rsid w:val="00FD14BC"/>
    <w:rsid w:val="00FD2ED6"/>
    <w:rsid w:val="00FE2A62"/>
    <w:rsid w:val="00FE3A37"/>
    <w:rsid w:val="00FF3B99"/>
    <w:rsid w:val="00FF3D3C"/>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6227B061"/>
  <w15:docId w15:val="{E31BDC7E-DD20-4BCD-A31B-9ED4DE84A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5111"/>
  </w:style>
  <w:style w:type="paragraph" w:styleId="berschrift1">
    <w:name w:val="heading 1"/>
    <w:basedOn w:val="Standard"/>
    <w:next w:val="Standard"/>
    <w:link w:val="berschrift1Zchn"/>
    <w:uiPriority w:val="9"/>
    <w:qFormat/>
    <w:rsid w:val="00A85111"/>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unhideWhenUsed/>
    <w:qFormat/>
    <w:rsid w:val="00A85111"/>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unhideWhenUsed/>
    <w:qFormat/>
    <w:rsid w:val="00A85111"/>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unhideWhenUsed/>
    <w:qFormat/>
    <w:rsid w:val="00A85111"/>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unhideWhenUsed/>
    <w:qFormat/>
    <w:rsid w:val="00A85111"/>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A85111"/>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A85111"/>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A85111"/>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A85111"/>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6F63DF"/>
    <w:pPr>
      <w:tabs>
        <w:tab w:val="center" w:pos="4536"/>
        <w:tab w:val="right" w:pos="9072"/>
      </w:tabs>
    </w:pPr>
  </w:style>
  <w:style w:type="paragraph" w:styleId="Kopfzeile">
    <w:name w:val="header"/>
    <w:basedOn w:val="Standard"/>
    <w:link w:val="KopfzeileZchn"/>
    <w:rsid w:val="006F63DF"/>
    <w:pPr>
      <w:tabs>
        <w:tab w:val="center" w:pos="4819"/>
        <w:tab w:val="right" w:pos="9071"/>
      </w:tabs>
    </w:pPr>
    <w:rPr>
      <w:rFonts w:ascii="Courier" w:hAnsi="Courier"/>
    </w:rPr>
  </w:style>
  <w:style w:type="character" w:styleId="Seitenzahl">
    <w:name w:val="page number"/>
    <w:basedOn w:val="Absatz-Standardschriftart"/>
    <w:rsid w:val="006F63DF"/>
  </w:style>
  <w:style w:type="paragraph" w:styleId="Textkrper">
    <w:name w:val="Body Text"/>
    <w:basedOn w:val="Standard"/>
    <w:rsid w:val="006F63DF"/>
    <w:pPr>
      <w:jc w:val="both"/>
    </w:pPr>
    <w:rPr>
      <w:rFonts w:ascii="Arial" w:hAnsi="Arial"/>
    </w:rPr>
  </w:style>
  <w:style w:type="paragraph" w:styleId="Sprechblasentext">
    <w:name w:val="Balloon Text"/>
    <w:basedOn w:val="Standard"/>
    <w:semiHidden/>
    <w:rsid w:val="006F63DF"/>
    <w:rPr>
      <w:rFonts w:ascii="Lucida Grande" w:hAnsi="Lucida Grande"/>
      <w:sz w:val="18"/>
      <w:szCs w:val="18"/>
    </w:rPr>
  </w:style>
  <w:style w:type="character" w:styleId="Hyperlink">
    <w:name w:val="Hyperlink"/>
    <w:basedOn w:val="Absatz-Standardschriftart"/>
    <w:uiPriority w:val="99"/>
    <w:rsid w:val="00B150BE"/>
    <w:rPr>
      <w:color w:val="0000FF"/>
      <w:u w:val="single"/>
    </w:rPr>
  </w:style>
  <w:style w:type="character" w:styleId="BesuchterLink">
    <w:name w:val="FollowedHyperlink"/>
    <w:basedOn w:val="Absatz-Standardschriftart"/>
    <w:rsid w:val="00437637"/>
    <w:rPr>
      <w:color w:val="800080"/>
      <w:u w:val="single"/>
    </w:rPr>
  </w:style>
  <w:style w:type="paragraph" w:customStyle="1" w:styleId="Paragrafoelenco">
    <w:name w:val="Paragrafo elenco"/>
    <w:basedOn w:val="Standard"/>
    <w:rsid w:val="008A4E30"/>
    <w:pPr>
      <w:ind w:left="720"/>
      <w:contextualSpacing/>
    </w:pPr>
    <w:rPr>
      <w:sz w:val="24"/>
      <w:szCs w:val="24"/>
      <w:lang w:val="it-IT" w:eastAsia="it-IT"/>
    </w:rPr>
  </w:style>
  <w:style w:type="paragraph" w:customStyle="1" w:styleId="Default">
    <w:name w:val="Default"/>
    <w:rsid w:val="00D50464"/>
    <w:pPr>
      <w:widowControl w:val="0"/>
      <w:autoSpaceDE w:val="0"/>
      <w:autoSpaceDN w:val="0"/>
      <w:adjustRightInd w:val="0"/>
    </w:pPr>
    <w:rPr>
      <w:color w:val="000000"/>
      <w:sz w:val="24"/>
      <w:szCs w:val="24"/>
    </w:rPr>
  </w:style>
  <w:style w:type="paragraph" w:customStyle="1" w:styleId="oa1">
    <w:name w:val="oa1"/>
    <w:basedOn w:val="Standard"/>
    <w:rsid w:val="0019258D"/>
    <w:pPr>
      <w:spacing w:beforeLines="1" w:afterLines="1"/>
    </w:pPr>
    <w:rPr>
      <w:rFonts w:ascii="Times" w:hAnsi="Times"/>
    </w:rPr>
  </w:style>
  <w:style w:type="paragraph" w:customStyle="1" w:styleId="oa2">
    <w:name w:val="oa2"/>
    <w:basedOn w:val="Standard"/>
    <w:rsid w:val="0019258D"/>
    <w:pPr>
      <w:pBdr>
        <w:bottom w:val="double" w:sz="6" w:space="0" w:color="000000"/>
      </w:pBdr>
      <w:spacing w:beforeLines="1" w:afterLines="1"/>
      <w:jc w:val="center"/>
      <w:textAlignment w:val="center"/>
    </w:pPr>
    <w:rPr>
      <w:rFonts w:ascii="Times" w:hAnsi="Times"/>
    </w:rPr>
  </w:style>
  <w:style w:type="paragraph" w:customStyle="1" w:styleId="oa3">
    <w:name w:val="oa3"/>
    <w:basedOn w:val="Standard"/>
    <w:rsid w:val="0019258D"/>
    <w:pPr>
      <w:spacing w:beforeLines="1" w:afterLines="1"/>
      <w:textAlignment w:val="top"/>
    </w:pPr>
    <w:rPr>
      <w:rFonts w:ascii="Times" w:hAnsi="Times"/>
    </w:rPr>
  </w:style>
  <w:style w:type="paragraph" w:customStyle="1" w:styleId="oa4">
    <w:name w:val="oa4"/>
    <w:basedOn w:val="Standard"/>
    <w:rsid w:val="0019258D"/>
    <w:pPr>
      <w:pBdr>
        <w:bottom w:val="double" w:sz="6" w:space="0" w:color="000000"/>
        <w:right w:val="double" w:sz="6" w:space="1" w:color="000000"/>
      </w:pBdr>
      <w:spacing w:beforeLines="1" w:afterLines="1"/>
      <w:textAlignment w:val="center"/>
    </w:pPr>
    <w:rPr>
      <w:rFonts w:ascii="Times" w:hAnsi="Times"/>
    </w:rPr>
  </w:style>
  <w:style w:type="paragraph" w:customStyle="1" w:styleId="oa5">
    <w:name w:val="oa5"/>
    <w:basedOn w:val="Standard"/>
    <w:rsid w:val="0019258D"/>
    <w:pPr>
      <w:pBdr>
        <w:top w:val="double" w:sz="6" w:space="1" w:color="000000"/>
        <w:left w:val="double" w:sz="6" w:space="1" w:color="000000"/>
        <w:bottom w:val="double" w:sz="6" w:space="0" w:color="000000"/>
        <w:right w:val="single" w:sz="4" w:space="1" w:color="000000"/>
      </w:pBdr>
      <w:spacing w:beforeLines="1" w:afterLines="1"/>
      <w:jc w:val="center"/>
      <w:textAlignment w:val="center"/>
    </w:pPr>
    <w:rPr>
      <w:rFonts w:ascii="Times" w:hAnsi="Times"/>
    </w:rPr>
  </w:style>
  <w:style w:type="paragraph" w:customStyle="1" w:styleId="oa6">
    <w:name w:val="oa6"/>
    <w:basedOn w:val="Standard"/>
    <w:rsid w:val="0019258D"/>
    <w:pPr>
      <w:pBdr>
        <w:top w:val="double" w:sz="6" w:space="1" w:color="000000"/>
        <w:left w:val="single" w:sz="4" w:space="1" w:color="000000"/>
        <w:bottom w:val="double" w:sz="6" w:space="0" w:color="000000"/>
        <w:right w:val="single" w:sz="4" w:space="1" w:color="000000"/>
      </w:pBdr>
      <w:spacing w:beforeLines="1" w:afterLines="1"/>
      <w:jc w:val="center"/>
      <w:textAlignment w:val="center"/>
    </w:pPr>
    <w:rPr>
      <w:rFonts w:ascii="Times" w:hAnsi="Times"/>
    </w:rPr>
  </w:style>
  <w:style w:type="paragraph" w:customStyle="1" w:styleId="oa7">
    <w:name w:val="oa7"/>
    <w:basedOn w:val="Standard"/>
    <w:rsid w:val="0019258D"/>
    <w:pPr>
      <w:pBdr>
        <w:top w:val="double" w:sz="6" w:space="1" w:color="000000"/>
        <w:left w:val="single" w:sz="4" w:space="1" w:color="000000"/>
        <w:bottom w:val="double" w:sz="6" w:space="0" w:color="000000"/>
        <w:right w:val="double" w:sz="6" w:space="1" w:color="000000"/>
      </w:pBdr>
      <w:spacing w:beforeLines="1" w:afterLines="1"/>
      <w:jc w:val="center"/>
      <w:textAlignment w:val="center"/>
    </w:pPr>
    <w:rPr>
      <w:rFonts w:ascii="Times" w:hAnsi="Times"/>
    </w:rPr>
  </w:style>
  <w:style w:type="paragraph" w:customStyle="1" w:styleId="oa8">
    <w:name w:val="oa8"/>
    <w:basedOn w:val="Standard"/>
    <w:rsid w:val="0019258D"/>
    <w:pPr>
      <w:pBdr>
        <w:top w:val="double" w:sz="6" w:space="1" w:color="000000"/>
        <w:left w:val="double" w:sz="6" w:space="1" w:color="000000"/>
        <w:bottom w:val="single" w:sz="4" w:space="0" w:color="000000"/>
        <w:right w:val="double" w:sz="6" w:space="1" w:color="000000"/>
      </w:pBdr>
      <w:spacing w:beforeLines="1" w:afterLines="1"/>
      <w:jc w:val="right"/>
    </w:pPr>
    <w:rPr>
      <w:rFonts w:ascii="Times" w:hAnsi="Times"/>
    </w:rPr>
  </w:style>
  <w:style w:type="paragraph" w:customStyle="1" w:styleId="oa9">
    <w:name w:val="oa9"/>
    <w:basedOn w:val="Standard"/>
    <w:rsid w:val="0019258D"/>
    <w:pPr>
      <w:pBdr>
        <w:top w:val="double" w:sz="6" w:space="1" w:color="000000"/>
        <w:left w:val="double" w:sz="6" w:space="1" w:color="000000"/>
        <w:bottom w:val="single" w:sz="4" w:space="0" w:color="000000"/>
        <w:right w:val="single" w:sz="4" w:space="1" w:color="000000"/>
      </w:pBdr>
      <w:spacing w:beforeLines="1" w:afterLines="1"/>
      <w:jc w:val="right"/>
    </w:pPr>
    <w:rPr>
      <w:rFonts w:ascii="Times" w:hAnsi="Times"/>
    </w:rPr>
  </w:style>
  <w:style w:type="paragraph" w:customStyle="1" w:styleId="oa10">
    <w:name w:val="oa10"/>
    <w:basedOn w:val="Standard"/>
    <w:rsid w:val="0019258D"/>
    <w:pPr>
      <w:pBdr>
        <w:top w:val="double" w:sz="6" w:space="1" w:color="000000"/>
        <w:left w:val="single" w:sz="4" w:space="1" w:color="000000"/>
        <w:bottom w:val="single" w:sz="4" w:space="0" w:color="000000"/>
        <w:right w:val="single" w:sz="4" w:space="1" w:color="000000"/>
      </w:pBdr>
      <w:spacing w:beforeLines="1" w:afterLines="1"/>
      <w:jc w:val="right"/>
    </w:pPr>
    <w:rPr>
      <w:rFonts w:ascii="Times" w:hAnsi="Times"/>
    </w:rPr>
  </w:style>
  <w:style w:type="paragraph" w:customStyle="1" w:styleId="oa11">
    <w:name w:val="oa11"/>
    <w:basedOn w:val="Standard"/>
    <w:rsid w:val="0019258D"/>
    <w:pPr>
      <w:pBdr>
        <w:top w:val="double" w:sz="6" w:space="1" w:color="000000"/>
        <w:left w:val="single" w:sz="4" w:space="1" w:color="000000"/>
        <w:bottom w:val="single" w:sz="4" w:space="0" w:color="000000"/>
        <w:right w:val="double" w:sz="6" w:space="1" w:color="000000"/>
      </w:pBdr>
      <w:spacing w:beforeLines="1" w:afterLines="1"/>
      <w:jc w:val="right"/>
    </w:pPr>
    <w:rPr>
      <w:rFonts w:ascii="Times" w:hAnsi="Times"/>
    </w:rPr>
  </w:style>
  <w:style w:type="paragraph" w:customStyle="1" w:styleId="oa12">
    <w:name w:val="oa12"/>
    <w:basedOn w:val="Standard"/>
    <w:rsid w:val="0019258D"/>
    <w:pPr>
      <w:pBdr>
        <w:top w:val="single" w:sz="4" w:space="1" w:color="000000"/>
        <w:left w:val="double" w:sz="6" w:space="1" w:color="000000"/>
        <w:bottom w:val="single" w:sz="4" w:space="0" w:color="000000"/>
        <w:right w:val="double" w:sz="6" w:space="1" w:color="000000"/>
      </w:pBdr>
      <w:spacing w:beforeLines="1" w:afterLines="1"/>
      <w:jc w:val="right"/>
    </w:pPr>
    <w:rPr>
      <w:rFonts w:ascii="Times" w:hAnsi="Times"/>
    </w:rPr>
  </w:style>
  <w:style w:type="paragraph" w:customStyle="1" w:styleId="oa13">
    <w:name w:val="oa13"/>
    <w:basedOn w:val="Standard"/>
    <w:rsid w:val="0019258D"/>
    <w:pPr>
      <w:pBdr>
        <w:top w:val="single" w:sz="4" w:space="1" w:color="000000"/>
        <w:left w:val="double" w:sz="6" w:space="1" w:color="000000"/>
        <w:bottom w:val="single" w:sz="4" w:space="0" w:color="000000"/>
        <w:right w:val="single" w:sz="4" w:space="1" w:color="000000"/>
      </w:pBdr>
      <w:spacing w:beforeLines="1" w:afterLines="1"/>
      <w:jc w:val="right"/>
    </w:pPr>
    <w:rPr>
      <w:rFonts w:ascii="Times" w:hAnsi="Times"/>
    </w:rPr>
  </w:style>
  <w:style w:type="paragraph" w:customStyle="1" w:styleId="oa14">
    <w:name w:val="oa14"/>
    <w:basedOn w:val="Standard"/>
    <w:rsid w:val="0019258D"/>
    <w:pPr>
      <w:pBdr>
        <w:top w:val="single" w:sz="4" w:space="1" w:color="000000"/>
        <w:left w:val="single" w:sz="4" w:space="1" w:color="000000"/>
        <w:bottom w:val="single" w:sz="4" w:space="0" w:color="000000"/>
        <w:right w:val="single" w:sz="4" w:space="1" w:color="000000"/>
      </w:pBdr>
      <w:shd w:val="clear" w:color="auto" w:fill="808080"/>
      <w:spacing w:beforeLines="1" w:afterLines="1"/>
    </w:pPr>
    <w:rPr>
      <w:rFonts w:ascii="Times" w:hAnsi="Times"/>
    </w:rPr>
  </w:style>
  <w:style w:type="paragraph" w:customStyle="1" w:styleId="oa15">
    <w:name w:val="oa15"/>
    <w:basedOn w:val="Standard"/>
    <w:rsid w:val="0019258D"/>
    <w:pPr>
      <w:pBdr>
        <w:top w:val="single" w:sz="4" w:space="1" w:color="000000"/>
        <w:left w:val="single" w:sz="4" w:space="1" w:color="000000"/>
        <w:bottom w:val="single" w:sz="4" w:space="0" w:color="000000"/>
        <w:right w:val="single" w:sz="4" w:space="1" w:color="000000"/>
      </w:pBdr>
      <w:spacing w:beforeLines="1" w:afterLines="1"/>
      <w:jc w:val="right"/>
    </w:pPr>
    <w:rPr>
      <w:rFonts w:ascii="Times" w:hAnsi="Times"/>
    </w:rPr>
  </w:style>
  <w:style w:type="paragraph" w:customStyle="1" w:styleId="oa16">
    <w:name w:val="oa16"/>
    <w:basedOn w:val="Standard"/>
    <w:rsid w:val="0019258D"/>
    <w:pPr>
      <w:pBdr>
        <w:top w:val="single" w:sz="4" w:space="1" w:color="000000"/>
        <w:left w:val="single" w:sz="4" w:space="1" w:color="000000"/>
        <w:bottom w:val="single" w:sz="4" w:space="0" w:color="000000"/>
        <w:right w:val="double" w:sz="6" w:space="1" w:color="000000"/>
      </w:pBdr>
      <w:spacing w:beforeLines="1" w:afterLines="1"/>
      <w:jc w:val="right"/>
    </w:pPr>
    <w:rPr>
      <w:rFonts w:ascii="Times" w:hAnsi="Times"/>
    </w:rPr>
  </w:style>
  <w:style w:type="paragraph" w:customStyle="1" w:styleId="oa17">
    <w:name w:val="oa17"/>
    <w:basedOn w:val="Standard"/>
    <w:rsid w:val="0019258D"/>
    <w:pPr>
      <w:pBdr>
        <w:top w:val="single" w:sz="4" w:space="1" w:color="000000"/>
        <w:left w:val="double" w:sz="6" w:space="1" w:color="000000"/>
        <w:bottom w:val="single" w:sz="4" w:space="0" w:color="000000"/>
        <w:right w:val="single" w:sz="4" w:space="1" w:color="000000"/>
      </w:pBdr>
      <w:shd w:val="clear" w:color="auto" w:fill="808080"/>
      <w:spacing w:beforeLines="1" w:afterLines="1"/>
    </w:pPr>
    <w:rPr>
      <w:rFonts w:ascii="Times" w:hAnsi="Times"/>
    </w:rPr>
  </w:style>
  <w:style w:type="paragraph" w:customStyle="1" w:styleId="oa18">
    <w:name w:val="oa18"/>
    <w:basedOn w:val="Standard"/>
    <w:rsid w:val="0019258D"/>
    <w:pPr>
      <w:pBdr>
        <w:top w:val="single" w:sz="4" w:space="1" w:color="000000"/>
        <w:left w:val="double" w:sz="6" w:space="1" w:color="000000"/>
        <w:bottom w:val="single" w:sz="4" w:space="0" w:color="000000"/>
        <w:right w:val="single" w:sz="4" w:space="1" w:color="000000"/>
      </w:pBdr>
      <w:spacing w:beforeLines="1" w:afterLines="1"/>
    </w:pPr>
    <w:rPr>
      <w:rFonts w:ascii="Times" w:hAnsi="Times"/>
    </w:rPr>
  </w:style>
  <w:style w:type="paragraph" w:customStyle="1" w:styleId="oa19">
    <w:name w:val="oa19"/>
    <w:basedOn w:val="Standard"/>
    <w:rsid w:val="0019258D"/>
    <w:pPr>
      <w:pBdr>
        <w:top w:val="single" w:sz="4" w:space="1" w:color="000000"/>
        <w:left w:val="single" w:sz="4" w:space="1" w:color="000000"/>
        <w:bottom w:val="single" w:sz="4" w:space="0" w:color="000000"/>
        <w:right w:val="single" w:sz="4" w:space="1" w:color="000000"/>
      </w:pBdr>
      <w:spacing w:beforeLines="1" w:afterLines="1"/>
    </w:pPr>
    <w:rPr>
      <w:rFonts w:ascii="Times" w:hAnsi="Times"/>
    </w:rPr>
  </w:style>
  <w:style w:type="paragraph" w:customStyle="1" w:styleId="oa20">
    <w:name w:val="oa20"/>
    <w:basedOn w:val="Standard"/>
    <w:rsid w:val="0019258D"/>
    <w:pPr>
      <w:pBdr>
        <w:top w:val="single" w:sz="4" w:space="1" w:color="000000"/>
        <w:left w:val="single" w:sz="4" w:space="1" w:color="000000"/>
        <w:bottom w:val="single" w:sz="4" w:space="0" w:color="000000"/>
        <w:right w:val="double" w:sz="6" w:space="1" w:color="000000"/>
      </w:pBdr>
      <w:shd w:val="clear" w:color="auto" w:fill="808080"/>
      <w:spacing w:beforeLines="1" w:afterLines="1"/>
    </w:pPr>
    <w:rPr>
      <w:rFonts w:ascii="Times" w:hAnsi="Times"/>
    </w:rPr>
  </w:style>
  <w:style w:type="paragraph" w:customStyle="1" w:styleId="oa21">
    <w:name w:val="oa21"/>
    <w:basedOn w:val="Standard"/>
    <w:rsid w:val="0019258D"/>
    <w:pPr>
      <w:pBdr>
        <w:top w:val="single" w:sz="4" w:space="1" w:color="000000"/>
        <w:left w:val="double" w:sz="6" w:space="1" w:color="000000"/>
        <w:bottom w:val="double" w:sz="6" w:space="0" w:color="000000"/>
        <w:right w:val="double" w:sz="6" w:space="1" w:color="000000"/>
      </w:pBdr>
      <w:spacing w:beforeLines="1" w:afterLines="1"/>
      <w:jc w:val="right"/>
    </w:pPr>
    <w:rPr>
      <w:rFonts w:ascii="Times" w:hAnsi="Times"/>
    </w:rPr>
  </w:style>
  <w:style w:type="paragraph" w:customStyle="1" w:styleId="oa22">
    <w:name w:val="oa22"/>
    <w:basedOn w:val="Standard"/>
    <w:rsid w:val="0019258D"/>
    <w:pPr>
      <w:pBdr>
        <w:top w:val="single" w:sz="4" w:space="1" w:color="000000"/>
        <w:left w:val="double" w:sz="6" w:space="1" w:color="000000"/>
        <w:bottom w:val="double" w:sz="6" w:space="0" w:color="000000"/>
        <w:right w:val="single" w:sz="4" w:space="1" w:color="000000"/>
      </w:pBdr>
      <w:shd w:val="clear" w:color="auto" w:fill="808080"/>
      <w:spacing w:beforeLines="1" w:afterLines="1"/>
    </w:pPr>
    <w:rPr>
      <w:rFonts w:ascii="Times" w:hAnsi="Times"/>
    </w:rPr>
  </w:style>
  <w:style w:type="paragraph" w:customStyle="1" w:styleId="oa23">
    <w:name w:val="oa23"/>
    <w:basedOn w:val="Standard"/>
    <w:rsid w:val="0019258D"/>
    <w:pPr>
      <w:pBdr>
        <w:top w:val="single" w:sz="4" w:space="1" w:color="000000"/>
        <w:left w:val="single" w:sz="4" w:space="1" w:color="000000"/>
        <w:bottom w:val="double" w:sz="6" w:space="0" w:color="000000"/>
        <w:right w:val="single" w:sz="4" w:space="1" w:color="000000"/>
      </w:pBdr>
      <w:shd w:val="clear" w:color="auto" w:fill="808080"/>
      <w:spacing w:beforeLines="1" w:afterLines="1"/>
    </w:pPr>
    <w:rPr>
      <w:rFonts w:ascii="Times" w:hAnsi="Times"/>
    </w:rPr>
  </w:style>
  <w:style w:type="paragraph" w:customStyle="1" w:styleId="oa24">
    <w:name w:val="oa24"/>
    <w:basedOn w:val="Standard"/>
    <w:rsid w:val="0019258D"/>
    <w:pPr>
      <w:pBdr>
        <w:top w:val="single" w:sz="4" w:space="1" w:color="000000"/>
        <w:left w:val="single" w:sz="4" w:space="1" w:color="000000"/>
        <w:bottom w:val="double" w:sz="6" w:space="0" w:color="000000"/>
        <w:right w:val="single" w:sz="4" w:space="1" w:color="000000"/>
      </w:pBdr>
      <w:spacing w:beforeLines="1" w:afterLines="1"/>
      <w:jc w:val="right"/>
    </w:pPr>
    <w:rPr>
      <w:rFonts w:ascii="Times" w:hAnsi="Times"/>
    </w:rPr>
  </w:style>
  <w:style w:type="paragraph" w:customStyle="1" w:styleId="oa25">
    <w:name w:val="oa25"/>
    <w:basedOn w:val="Standard"/>
    <w:rsid w:val="0019258D"/>
    <w:pPr>
      <w:pBdr>
        <w:top w:val="single" w:sz="4" w:space="1" w:color="000000"/>
        <w:left w:val="single" w:sz="4" w:space="1" w:color="000000"/>
        <w:bottom w:val="double" w:sz="6" w:space="0" w:color="000000"/>
        <w:right w:val="double" w:sz="6" w:space="1" w:color="000000"/>
      </w:pBdr>
      <w:shd w:val="clear" w:color="auto" w:fill="808080"/>
      <w:spacing w:beforeLines="1" w:afterLines="1"/>
    </w:pPr>
    <w:rPr>
      <w:rFonts w:ascii="Times" w:hAnsi="Times"/>
    </w:rPr>
  </w:style>
  <w:style w:type="paragraph" w:styleId="StandardWeb">
    <w:name w:val="Normal (Web)"/>
    <w:basedOn w:val="Standard"/>
    <w:uiPriority w:val="99"/>
    <w:rsid w:val="0019258D"/>
    <w:pPr>
      <w:spacing w:beforeLines="1" w:afterLines="1"/>
    </w:pPr>
    <w:rPr>
      <w:rFonts w:ascii="Times" w:hAnsi="Times"/>
    </w:rPr>
  </w:style>
  <w:style w:type="paragraph" w:styleId="Listenabsatz">
    <w:name w:val="List Paragraph"/>
    <w:basedOn w:val="Standard"/>
    <w:uiPriority w:val="34"/>
    <w:qFormat/>
    <w:rsid w:val="00A85111"/>
    <w:pPr>
      <w:ind w:left="720"/>
      <w:contextualSpacing/>
    </w:pPr>
  </w:style>
  <w:style w:type="character" w:customStyle="1" w:styleId="KopfzeileZchn">
    <w:name w:val="Kopfzeile Zchn"/>
    <w:basedOn w:val="Absatz-Standardschriftart"/>
    <w:link w:val="Kopfzeile"/>
    <w:rsid w:val="00A44BE1"/>
    <w:rPr>
      <w:rFonts w:ascii="Courier" w:hAnsi="Courier"/>
    </w:rPr>
  </w:style>
  <w:style w:type="table" w:styleId="Tabellenraster">
    <w:name w:val="Table Grid"/>
    <w:basedOn w:val="NormaleTabelle"/>
    <w:uiPriority w:val="59"/>
    <w:rsid w:val="00A44BE1"/>
    <w:rPr>
      <w:rFonts w:asciiTheme="minorHAnsi" w:eastAsiaTheme="minorHAnsi" w:hAnsiTheme="minorHAnsi" w:cstheme="minorBid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ommentarzeichen">
    <w:name w:val="annotation reference"/>
    <w:basedOn w:val="Absatz-Standardschriftart"/>
    <w:uiPriority w:val="99"/>
    <w:semiHidden/>
    <w:unhideWhenUsed/>
    <w:rsid w:val="00E240CC"/>
    <w:rPr>
      <w:sz w:val="16"/>
      <w:szCs w:val="16"/>
    </w:rPr>
  </w:style>
  <w:style w:type="paragraph" w:styleId="Kommentartext">
    <w:name w:val="annotation text"/>
    <w:basedOn w:val="Standard"/>
    <w:link w:val="KommentartextZchn"/>
    <w:uiPriority w:val="99"/>
    <w:semiHidden/>
    <w:unhideWhenUsed/>
    <w:rsid w:val="00E240CC"/>
  </w:style>
  <w:style w:type="character" w:customStyle="1" w:styleId="KommentartextZchn">
    <w:name w:val="Kommentartext Zchn"/>
    <w:basedOn w:val="Absatz-Standardschriftart"/>
    <w:link w:val="Kommentartext"/>
    <w:uiPriority w:val="99"/>
    <w:semiHidden/>
    <w:rsid w:val="00E240CC"/>
  </w:style>
  <w:style w:type="paragraph" w:styleId="Kommentarthema">
    <w:name w:val="annotation subject"/>
    <w:basedOn w:val="Kommentartext"/>
    <w:next w:val="Kommentartext"/>
    <w:link w:val="KommentarthemaZchn"/>
    <w:uiPriority w:val="99"/>
    <w:semiHidden/>
    <w:unhideWhenUsed/>
    <w:rsid w:val="00E240CC"/>
    <w:rPr>
      <w:b/>
      <w:bCs/>
    </w:rPr>
  </w:style>
  <w:style w:type="character" w:customStyle="1" w:styleId="KommentarthemaZchn">
    <w:name w:val="Kommentarthema Zchn"/>
    <w:basedOn w:val="KommentartextZchn"/>
    <w:link w:val="Kommentarthema"/>
    <w:uiPriority w:val="99"/>
    <w:semiHidden/>
    <w:rsid w:val="00E240CC"/>
    <w:rPr>
      <w:b/>
      <w:bCs/>
    </w:rPr>
  </w:style>
  <w:style w:type="paragraph" w:styleId="KeinLeerraum">
    <w:name w:val="No Spacing"/>
    <w:basedOn w:val="Standard"/>
    <w:link w:val="KeinLeerraumZchn"/>
    <w:uiPriority w:val="1"/>
    <w:qFormat/>
    <w:rsid w:val="00A85111"/>
    <w:pPr>
      <w:spacing w:after="0" w:line="240" w:lineRule="auto"/>
    </w:pPr>
  </w:style>
  <w:style w:type="character" w:customStyle="1" w:styleId="KeinLeerraumZchn">
    <w:name w:val="Kein Leerraum Zchn"/>
    <w:basedOn w:val="Absatz-Standardschriftart"/>
    <w:link w:val="KeinLeerraum"/>
    <w:uiPriority w:val="1"/>
    <w:rsid w:val="00DB713B"/>
  </w:style>
  <w:style w:type="character" w:customStyle="1" w:styleId="berschrift1Zchn">
    <w:name w:val="Überschrift 1 Zchn"/>
    <w:basedOn w:val="Absatz-Standardschriftart"/>
    <w:link w:val="berschrift1"/>
    <w:uiPriority w:val="9"/>
    <w:rsid w:val="00A85111"/>
    <w:rPr>
      <w:smallCaps/>
      <w:spacing w:val="5"/>
      <w:sz w:val="36"/>
      <w:szCs w:val="36"/>
    </w:rPr>
  </w:style>
  <w:style w:type="character" w:customStyle="1" w:styleId="berschrift2Zchn">
    <w:name w:val="Überschrift 2 Zchn"/>
    <w:basedOn w:val="Absatz-Standardschriftart"/>
    <w:link w:val="berschrift2"/>
    <w:uiPriority w:val="9"/>
    <w:rsid w:val="00A85111"/>
    <w:rPr>
      <w:smallCaps/>
      <w:sz w:val="28"/>
      <w:szCs w:val="28"/>
    </w:rPr>
  </w:style>
  <w:style w:type="character" w:customStyle="1" w:styleId="berschrift3Zchn">
    <w:name w:val="Überschrift 3 Zchn"/>
    <w:basedOn w:val="Absatz-Standardschriftart"/>
    <w:link w:val="berschrift3"/>
    <w:uiPriority w:val="9"/>
    <w:rsid w:val="00A85111"/>
    <w:rPr>
      <w:i/>
      <w:iCs/>
      <w:smallCaps/>
      <w:spacing w:val="5"/>
      <w:sz w:val="26"/>
      <w:szCs w:val="26"/>
    </w:rPr>
  </w:style>
  <w:style w:type="character" w:customStyle="1" w:styleId="berschrift4Zchn">
    <w:name w:val="Überschrift 4 Zchn"/>
    <w:basedOn w:val="Absatz-Standardschriftart"/>
    <w:link w:val="berschrift4"/>
    <w:uiPriority w:val="9"/>
    <w:rsid w:val="00A85111"/>
    <w:rPr>
      <w:b/>
      <w:bCs/>
      <w:spacing w:val="5"/>
      <w:sz w:val="24"/>
      <w:szCs w:val="24"/>
    </w:rPr>
  </w:style>
  <w:style w:type="character" w:customStyle="1" w:styleId="berschrift5Zchn">
    <w:name w:val="Überschrift 5 Zchn"/>
    <w:basedOn w:val="Absatz-Standardschriftart"/>
    <w:link w:val="berschrift5"/>
    <w:uiPriority w:val="9"/>
    <w:rsid w:val="00A85111"/>
    <w:rPr>
      <w:i/>
      <w:iCs/>
      <w:sz w:val="24"/>
      <w:szCs w:val="24"/>
    </w:rPr>
  </w:style>
  <w:style w:type="character" w:customStyle="1" w:styleId="berschrift6Zchn">
    <w:name w:val="Überschrift 6 Zchn"/>
    <w:basedOn w:val="Absatz-Standardschriftart"/>
    <w:link w:val="berschrift6"/>
    <w:uiPriority w:val="9"/>
    <w:semiHidden/>
    <w:rsid w:val="00A85111"/>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A85111"/>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A85111"/>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A85111"/>
    <w:rPr>
      <w:b/>
      <w:bCs/>
      <w:i/>
      <w:iCs/>
      <w:color w:val="7F7F7F" w:themeColor="text1" w:themeTint="80"/>
      <w:sz w:val="18"/>
      <w:szCs w:val="18"/>
    </w:rPr>
  </w:style>
  <w:style w:type="paragraph" w:styleId="Beschriftung">
    <w:name w:val="caption"/>
    <w:basedOn w:val="Standard"/>
    <w:next w:val="Standard"/>
    <w:uiPriority w:val="35"/>
    <w:unhideWhenUsed/>
    <w:rsid w:val="00DB713B"/>
    <w:pPr>
      <w:spacing w:line="240" w:lineRule="auto"/>
    </w:pPr>
    <w:rPr>
      <w:b/>
      <w:bCs/>
      <w:color w:val="4F81BD" w:themeColor="accent1"/>
      <w:sz w:val="18"/>
      <w:szCs w:val="18"/>
    </w:rPr>
  </w:style>
  <w:style w:type="paragraph" w:styleId="Titel">
    <w:name w:val="Title"/>
    <w:basedOn w:val="Standard"/>
    <w:next w:val="Standard"/>
    <w:link w:val="TitelZchn"/>
    <w:uiPriority w:val="10"/>
    <w:qFormat/>
    <w:rsid w:val="00A85111"/>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A85111"/>
    <w:rPr>
      <w:smallCaps/>
      <w:sz w:val="52"/>
      <w:szCs w:val="52"/>
    </w:rPr>
  </w:style>
  <w:style w:type="paragraph" w:styleId="Untertitel">
    <w:name w:val="Subtitle"/>
    <w:basedOn w:val="Standard"/>
    <w:next w:val="Standard"/>
    <w:link w:val="UntertitelZchn"/>
    <w:uiPriority w:val="11"/>
    <w:qFormat/>
    <w:rsid w:val="00A85111"/>
    <w:rPr>
      <w:i/>
      <w:iCs/>
      <w:smallCaps/>
      <w:spacing w:val="10"/>
      <w:sz w:val="28"/>
      <w:szCs w:val="28"/>
    </w:rPr>
  </w:style>
  <w:style w:type="character" w:customStyle="1" w:styleId="UntertitelZchn">
    <w:name w:val="Untertitel Zchn"/>
    <w:basedOn w:val="Absatz-Standardschriftart"/>
    <w:link w:val="Untertitel"/>
    <w:uiPriority w:val="11"/>
    <w:rsid w:val="00A85111"/>
    <w:rPr>
      <w:i/>
      <w:iCs/>
      <w:smallCaps/>
      <w:spacing w:val="10"/>
      <w:sz w:val="28"/>
      <w:szCs w:val="28"/>
    </w:rPr>
  </w:style>
  <w:style w:type="character" w:styleId="Fett">
    <w:name w:val="Strong"/>
    <w:uiPriority w:val="22"/>
    <w:qFormat/>
    <w:rsid w:val="00A85111"/>
    <w:rPr>
      <w:b/>
      <w:bCs/>
    </w:rPr>
  </w:style>
  <w:style w:type="character" w:styleId="Hervorhebung">
    <w:name w:val="Emphasis"/>
    <w:uiPriority w:val="20"/>
    <w:qFormat/>
    <w:rsid w:val="00A85111"/>
    <w:rPr>
      <w:b/>
      <w:bCs/>
      <w:i/>
      <w:iCs/>
      <w:spacing w:val="10"/>
    </w:rPr>
  </w:style>
  <w:style w:type="paragraph" w:styleId="Zitat">
    <w:name w:val="Quote"/>
    <w:basedOn w:val="Standard"/>
    <w:next w:val="Standard"/>
    <w:link w:val="ZitatZchn"/>
    <w:uiPriority w:val="29"/>
    <w:qFormat/>
    <w:rsid w:val="00A85111"/>
    <w:rPr>
      <w:i/>
      <w:iCs/>
    </w:rPr>
  </w:style>
  <w:style w:type="character" w:customStyle="1" w:styleId="ZitatZchn">
    <w:name w:val="Zitat Zchn"/>
    <w:basedOn w:val="Absatz-Standardschriftart"/>
    <w:link w:val="Zitat"/>
    <w:uiPriority w:val="29"/>
    <w:rsid w:val="00A85111"/>
    <w:rPr>
      <w:i/>
      <w:iCs/>
    </w:rPr>
  </w:style>
  <w:style w:type="paragraph" w:styleId="IntensivesZitat">
    <w:name w:val="Intense Quote"/>
    <w:basedOn w:val="Standard"/>
    <w:next w:val="Standard"/>
    <w:link w:val="IntensivesZitatZchn"/>
    <w:uiPriority w:val="30"/>
    <w:qFormat/>
    <w:rsid w:val="00A85111"/>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A85111"/>
    <w:rPr>
      <w:i/>
      <w:iCs/>
    </w:rPr>
  </w:style>
  <w:style w:type="character" w:styleId="SchwacheHervorhebung">
    <w:name w:val="Subtle Emphasis"/>
    <w:uiPriority w:val="19"/>
    <w:qFormat/>
    <w:rsid w:val="00A85111"/>
    <w:rPr>
      <w:i/>
      <w:iCs/>
    </w:rPr>
  </w:style>
  <w:style w:type="character" w:styleId="IntensiveHervorhebung">
    <w:name w:val="Intense Emphasis"/>
    <w:uiPriority w:val="21"/>
    <w:qFormat/>
    <w:rsid w:val="00A85111"/>
    <w:rPr>
      <w:b/>
      <w:bCs/>
      <w:i/>
      <w:iCs/>
    </w:rPr>
  </w:style>
  <w:style w:type="character" w:styleId="SchwacherVerweis">
    <w:name w:val="Subtle Reference"/>
    <w:basedOn w:val="Absatz-Standardschriftart"/>
    <w:uiPriority w:val="31"/>
    <w:qFormat/>
    <w:rsid w:val="00A85111"/>
    <w:rPr>
      <w:smallCaps/>
    </w:rPr>
  </w:style>
  <w:style w:type="character" w:styleId="IntensiverVerweis">
    <w:name w:val="Intense Reference"/>
    <w:uiPriority w:val="32"/>
    <w:qFormat/>
    <w:rsid w:val="00A85111"/>
    <w:rPr>
      <w:b/>
      <w:bCs/>
      <w:smallCaps/>
    </w:rPr>
  </w:style>
  <w:style w:type="character" w:styleId="Buchtitel">
    <w:name w:val="Book Title"/>
    <w:basedOn w:val="Absatz-Standardschriftart"/>
    <w:uiPriority w:val="33"/>
    <w:qFormat/>
    <w:rsid w:val="00A85111"/>
    <w:rPr>
      <w:i/>
      <w:iCs/>
      <w:smallCaps/>
      <w:spacing w:val="5"/>
    </w:rPr>
  </w:style>
  <w:style w:type="paragraph" w:styleId="Inhaltsverzeichnisberschrift">
    <w:name w:val="TOC Heading"/>
    <w:basedOn w:val="berschrift1"/>
    <w:next w:val="Standard"/>
    <w:uiPriority w:val="39"/>
    <w:semiHidden/>
    <w:unhideWhenUsed/>
    <w:qFormat/>
    <w:rsid w:val="00A85111"/>
    <w:pPr>
      <w:outlineLvl w:val="9"/>
    </w:pPr>
  </w:style>
  <w:style w:type="paragraph" w:styleId="Verzeichnis1">
    <w:name w:val="toc 1"/>
    <w:basedOn w:val="Standard"/>
    <w:next w:val="Standard"/>
    <w:autoRedefine/>
    <w:uiPriority w:val="39"/>
    <w:unhideWhenUsed/>
    <w:rsid w:val="00F87F59"/>
    <w:pPr>
      <w:spacing w:after="100"/>
    </w:pPr>
  </w:style>
  <w:style w:type="paragraph" w:styleId="Verzeichnis2">
    <w:name w:val="toc 2"/>
    <w:basedOn w:val="Standard"/>
    <w:next w:val="Standard"/>
    <w:autoRedefine/>
    <w:uiPriority w:val="39"/>
    <w:unhideWhenUsed/>
    <w:rsid w:val="00F87F59"/>
    <w:pPr>
      <w:spacing w:after="100"/>
      <w:ind w:left="220"/>
    </w:pPr>
  </w:style>
  <w:style w:type="paragraph" w:styleId="Verzeichnis3">
    <w:name w:val="toc 3"/>
    <w:basedOn w:val="Standard"/>
    <w:next w:val="Standard"/>
    <w:autoRedefine/>
    <w:uiPriority w:val="39"/>
    <w:unhideWhenUsed/>
    <w:rsid w:val="00F87F59"/>
    <w:pPr>
      <w:spacing w:after="100"/>
      <w:ind w:left="440"/>
    </w:pPr>
  </w:style>
  <w:style w:type="character" w:customStyle="1" w:styleId="FuzeileZchn">
    <w:name w:val="Fußzeile Zchn"/>
    <w:basedOn w:val="Absatz-Standardschriftart"/>
    <w:link w:val="Fuzeile"/>
    <w:uiPriority w:val="99"/>
    <w:rsid w:val="00B10FE5"/>
  </w:style>
  <w:style w:type="paragraph" w:styleId="Abbildungsverzeichnis">
    <w:name w:val="table of figures"/>
    <w:basedOn w:val="Standard"/>
    <w:next w:val="Standard"/>
    <w:uiPriority w:val="99"/>
    <w:unhideWhenUsed/>
    <w:rsid w:val="008E6427"/>
    <w:pPr>
      <w:spacing w:after="0"/>
    </w:pPr>
  </w:style>
  <w:style w:type="character" w:customStyle="1" w:styleId="ms-rtestyle-cea-code-variable">
    <w:name w:val="ms-rtestyle-cea-code-variable"/>
    <w:basedOn w:val="Absatz-Standardschriftart"/>
    <w:rsid w:val="00FC1336"/>
  </w:style>
  <w:style w:type="paragraph" w:styleId="NurText">
    <w:name w:val="Plain Text"/>
    <w:basedOn w:val="Standard"/>
    <w:link w:val="NurTextZchn"/>
    <w:uiPriority w:val="99"/>
    <w:semiHidden/>
    <w:unhideWhenUsed/>
    <w:rsid w:val="006E271C"/>
    <w:pPr>
      <w:spacing w:after="0" w:line="240" w:lineRule="auto"/>
    </w:pPr>
    <w:rPr>
      <w:rFonts w:ascii="Calibri" w:eastAsiaTheme="minorHAnsi" w:hAnsi="Calibri" w:cstheme="minorBidi"/>
      <w:szCs w:val="21"/>
      <w:lang w:val="de-DE" w:bidi="ar-SA"/>
    </w:rPr>
  </w:style>
  <w:style w:type="character" w:customStyle="1" w:styleId="NurTextZchn">
    <w:name w:val="Nur Text Zchn"/>
    <w:basedOn w:val="Absatz-Standardschriftart"/>
    <w:link w:val="NurText"/>
    <w:uiPriority w:val="99"/>
    <w:semiHidden/>
    <w:rsid w:val="006E271C"/>
    <w:rPr>
      <w:rFonts w:ascii="Calibri" w:eastAsiaTheme="minorHAnsi" w:hAnsi="Calibri" w:cstheme="minorBidi"/>
      <w:szCs w:val="21"/>
      <w:lang w:val="de-DE" w:bidi="ar-SA"/>
    </w:rPr>
  </w:style>
  <w:style w:type="paragraph" w:styleId="Funotentext">
    <w:name w:val="footnote text"/>
    <w:basedOn w:val="Standard"/>
    <w:link w:val="FunotentextZchn"/>
    <w:uiPriority w:val="99"/>
    <w:semiHidden/>
    <w:unhideWhenUsed/>
    <w:rsid w:val="000C6BB6"/>
    <w:pPr>
      <w:spacing w:after="0" w:line="240" w:lineRule="auto"/>
    </w:pPr>
    <w:rPr>
      <w:rFonts w:ascii="Times New Roman" w:eastAsia="Times New Roman" w:hAnsi="Times New Roman" w:cs="Times New Roman"/>
      <w:sz w:val="20"/>
      <w:szCs w:val="20"/>
      <w:lang w:val="fr-FR" w:bidi="ar-SA"/>
    </w:rPr>
  </w:style>
  <w:style w:type="character" w:customStyle="1" w:styleId="FunotentextZchn">
    <w:name w:val="Fußnotentext Zchn"/>
    <w:basedOn w:val="Absatz-Standardschriftart"/>
    <w:link w:val="Funotentext"/>
    <w:uiPriority w:val="99"/>
    <w:semiHidden/>
    <w:rsid w:val="000C6BB6"/>
    <w:rPr>
      <w:rFonts w:ascii="Times New Roman" w:eastAsia="Times New Roman" w:hAnsi="Times New Roman" w:cs="Times New Roman"/>
      <w:sz w:val="20"/>
      <w:szCs w:val="20"/>
      <w:lang w:val="fr-FR" w:bidi="ar-SA"/>
    </w:rPr>
  </w:style>
  <w:style w:type="character" w:styleId="Funotenzeichen">
    <w:name w:val="footnote reference"/>
    <w:basedOn w:val="Absatz-Standardschriftart"/>
    <w:uiPriority w:val="99"/>
    <w:unhideWhenUsed/>
    <w:rsid w:val="000C6BB6"/>
    <w:rPr>
      <w:vertAlign w:val="superscript"/>
    </w:rPr>
  </w:style>
  <w:style w:type="paragraph" w:customStyle="1" w:styleId="HeadingArticle">
    <w:name w:val="Heading Article"/>
    <w:basedOn w:val="Standard"/>
    <w:link w:val="HeadingArticleChar"/>
    <w:qFormat/>
    <w:rsid w:val="0062164E"/>
    <w:pPr>
      <w:autoSpaceDE w:val="0"/>
      <w:autoSpaceDN w:val="0"/>
      <w:adjustRightInd w:val="0"/>
      <w:spacing w:after="0" w:line="360" w:lineRule="auto"/>
      <w:jc w:val="both"/>
    </w:pPr>
    <w:rPr>
      <w:rFonts w:ascii="Times New Roman" w:eastAsiaTheme="minorHAnsi" w:hAnsi="Times New Roman" w:cs="Times New Roman"/>
      <w:b/>
      <w:sz w:val="24"/>
      <w:szCs w:val="24"/>
      <w:lang w:val="en-GB" w:bidi="ar-SA"/>
    </w:rPr>
  </w:style>
  <w:style w:type="character" w:customStyle="1" w:styleId="HeadingArticleChar">
    <w:name w:val="Heading Article Char"/>
    <w:basedOn w:val="Absatz-Standardschriftart"/>
    <w:link w:val="HeadingArticle"/>
    <w:rsid w:val="0062164E"/>
    <w:rPr>
      <w:rFonts w:ascii="Times New Roman" w:eastAsiaTheme="minorHAnsi" w:hAnsi="Times New Roman" w:cs="Times New Roman"/>
      <w:b/>
      <w:sz w:val="24"/>
      <w:szCs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395674">
      <w:bodyDiv w:val="1"/>
      <w:marLeft w:val="0"/>
      <w:marRight w:val="0"/>
      <w:marTop w:val="0"/>
      <w:marBottom w:val="0"/>
      <w:divBdr>
        <w:top w:val="none" w:sz="0" w:space="0" w:color="auto"/>
        <w:left w:val="none" w:sz="0" w:space="0" w:color="auto"/>
        <w:bottom w:val="none" w:sz="0" w:space="0" w:color="auto"/>
        <w:right w:val="none" w:sz="0" w:space="0" w:color="auto"/>
      </w:divBdr>
    </w:div>
    <w:div w:id="502669407">
      <w:bodyDiv w:val="1"/>
      <w:marLeft w:val="0"/>
      <w:marRight w:val="0"/>
      <w:marTop w:val="0"/>
      <w:marBottom w:val="0"/>
      <w:divBdr>
        <w:top w:val="none" w:sz="0" w:space="0" w:color="auto"/>
        <w:left w:val="none" w:sz="0" w:space="0" w:color="auto"/>
        <w:bottom w:val="none" w:sz="0" w:space="0" w:color="auto"/>
        <w:right w:val="none" w:sz="0" w:space="0" w:color="auto"/>
      </w:divBdr>
    </w:div>
    <w:div w:id="921910794">
      <w:bodyDiv w:val="1"/>
      <w:marLeft w:val="0"/>
      <w:marRight w:val="0"/>
      <w:marTop w:val="0"/>
      <w:marBottom w:val="0"/>
      <w:divBdr>
        <w:top w:val="none" w:sz="0" w:space="0" w:color="auto"/>
        <w:left w:val="none" w:sz="0" w:space="0" w:color="auto"/>
        <w:bottom w:val="none" w:sz="0" w:space="0" w:color="auto"/>
        <w:right w:val="none" w:sz="0" w:space="0" w:color="auto"/>
      </w:divBdr>
    </w:div>
    <w:div w:id="925847008">
      <w:bodyDiv w:val="1"/>
      <w:marLeft w:val="0"/>
      <w:marRight w:val="0"/>
      <w:marTop w:val="0"/>
      <w:marBottom w:val="0"/>
      <w:divBdr>
        <w:top w:val="none" w:sz="0" w:space="0" w:color="auto"/>
        <w:left w:val="none" w:sz="0" w:space="0" w:color="auto"/>
        <w:bottom w:val="none" w:sz="0" w:space="0" w:color="auto"/>
        <w:right w:val="none" w:sz="0" w:space="0" w:color="auto"/>
      </w:divBdr>
    </w:div>
    <w:div w:id="1027218017">
      <w:bodyDiv w:val="1"/>
      <w:marLeft w:val="0"/>
      <w:marRight w:val="0"/>
      <w:marTop w:val="0"/>
      <w:marBottom w:val="0"/>
      <w:divBdr>
        <w:top w:val="none" w:sz="0" w:space="0" w:color="auto"/>
        <w:left w:val="none" w:sz="0" w:space="0" w:color="auto"/>
        <w:bottom w:val="none" w:sz="0" w:space="0" w:color="auto"/>
        <w:right w:val="none" w:sz="0" w:space="0" w:color="auto"/>
      </w:divBdr>
    </w:div>
    <w:div w:id="1945385136">
      <w:bodyDiv w:val="1"/>
      <w:marLeft w:val="0"/>
      <w:marRight w:val="0"/>
      <w:marTop w:val="0"/>
      <w:marBottom w:val="0"/>
      <w:divBdr>
        <w:top w:val="none" w:sz="0" w:space="0" w:color="auto"/>
        <w:left w:val="none" w:sz="0" w:space="0" w:color="auto"/>
        <w:bottom w:val="none" w:sz="0" w:space="0" w:color="auto"/>
        <w:right w:val="none" w:sz="0" w:space="0" w:color="auto"/>
      </w:divBdr>
    </w:div>
    <w:div w:id="2048947569">
      <w:bodyDiv w:val="1"/>
      <w:marLeft w:val="0"/>
      <w:marRight w:val="0"/>
      <w:marTop w:val="0"/>
      <w:marBottom w:val="0"/>
      <w:divBdr>
        <w:top w:val="none" w:sz="0" w:space="0" w:color="auto"/>
        <w:left w:val="none" w:sz="0" w:space="0" w:color="auto"/>
        <w:bottom w:val="none" w:sz="0" w:space="0" w:color="auto"/>
        <w:right w:val="none" w:sz="0" w:space="0" w:color="auto"/>
      </w:divBdr>
      <w:divsChild>
        <w:div w:id="668294177">
          <w:marLeft w:val="0"/>
          <w:marRight w:val="0"/>
          <w:marTop w:val="0"/>
          <w:marBottom w:val="0"/>
          <w:divBdr>
            <w:top w:val="none" w:sz="0" w:space="0" w:color="auto"/>
            <w:left w:val="none" w:sz="0" w:space="0" w:color="auto"/>
            <w:bottom w:val="none" w:sz="0" w:space="0" w:color="auto"/>
            <w:right w:val="none" w:sz="0" w:space="0" w:color="auto"/>
          </w:divBdr>
          <w:divsChild>
            <w:div w:id="381245904">
              <w:marLeft w:val="0"/>
              <w:marRight w:val="0"/>
              <w:marTop w:val="0"/>
              <w:marBottom w:val="0"/>
              <w:divBdr>
                <w:top w:val="none" w:sz="0" w:space="0" w:color="auto"/>
                <w:left w:val="none" w:sz="0" w:space="0" w:color="auto"/>
                <w:bottom w:val="none" w:sz="0" w:space="0" w:color="auto"/>
                <w:right w:val="none" w:sz="0" w:space="0" w:color="auto"/>
              </w:divBdr>
              <w:divsChild>
                <w:div w:id="2083991272">
                  <w:marLeft w:val="0"/>
                  <w:marRight w:val="0"/>
                  <w:marTop w:val="0"/>
                  <w:marBottom w:val="0"/>
                  <w:divBdr>
                    <w:top w:val="none" w:sz="0" w:space="0" w:color="auto"/>
                    <w:left w:val="none" w:sz="0" w:space="0" w:color="auto"/>
                    <w:bottom w:val="none" w:sz="0" w:space="0" w:color="auto"/>
                    <w:right w:val="none" w:sz="0" w:space="0" w:color="auto"/>
                  </w:divBdr>
                  <w:divsChild>
                    <w:div w:id="56118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iki.gsi.de/foswiki/bin/view/IKBest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ms.cern.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dico.desy.de/indico/event/1222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iki.gsi.de/foswiki/bin/view/IKBestX/IKBest4_group_1_in-kind_models_in_practice" TargetMode="External"/><Relationship Id="rId4" Type="http://schemas.openxmlformats.org/officeDocument/2006/relationships/settings" Target="settings.xml"/><Relationship Id="rId9" Type="http://schemas.openxmlformats.org/officeDocument/2006/relationships/hyperlink" Target="https://wiki.gsi.de/foswiki/bin/view/IKBestX/IKBest_plenum_01_result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A47681-E5B1-4E53-9924-566B884D9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6736</Words>
  <Characters>42441</Characters>
  <Application>Microsoft Office Word</Application>
  <DocSecurity>4</DocSecurity>
  <Lines>353</Lines>
  <Paragraphs>98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Modèle de relevé de décision</vt:lpstr>
      <vt:lpstr>Modèle de relevé de décision</vt:lpstr>
      <vt:lpstr>Modèle de relevé de décision</vt:lpstr>
    </vt:vector>
  </TitlesOfParts>
  <Company>GANIL - CEA - CNRS</Company>
  <LinksUpToDate>false</LinksUpToDate>
  <CharactersWithSpaces>49079</CharactersWithSpaces>
  <SharedDoc>false</SharedDoc>
  <HLinks>
    <vt:vector size="30" baseType="variant">
      <vt:variant>
        <vt:i4>7471121</vt:i4>
      </vt:variant>
      <vt:variant>
        <vt:i4>9</vt:i4>
      </vt:variant>
      <vt:variant>
        <vt:i4>0</vt:i4>
      </vt:variant>
      <vt:variant>
        <vt:i4>5</vt:i4>
      </vt:variant>
      <vt:variant>
        <vt:lpwstr>http://www.spiral2pp.eu/meetings/minutes-and-documents/general-assembly-meetings/june-8th-2009-villepinte-france/Financial-report.pdf</vt:lpwstr>
      </vt:variant>
      <vt:variant>
        <vt:lpwstr/>
      </vt:variant>
      <vt:variant>
        <vt:i4>1376375</vt:i4>
      </vt:variant>
      <vt:variant>
        <vt:i4>6</vt:i4>
      </vt:variant>
      <vt:variant>
        <vt:i4>0</vt:i4>
      </vt:variant>
      <vt:variant>
        <vt:i4>5</vt:i4>
      </vt:variant>
      <vt:variant>
        <vt:lpwstr>http://www.spiral2pp.eu</vt:lpwstr>
      </vt:variant>
      <vt:variant>
        <vt:lpwstr/>
      </vt:variant>
      <vt:variant>
        <vt:i4>3145751</vt:i4>
      </vt:variant>
      <vt:variant>
        <vt:i4>3</vt:i4>
      </vt:variant>
      <vt:variant>
        <vt:i4>0</vt:i4>
      </vt:variant>
      <vt:variant>
        <vt:i4>5</vt:i4>
      </vt:variant>
      <vt:variant>
        <vt:lpwstr>http://eurorib08.ganil.fr</vt:lpwstr>
      </vt:variant>
      <vt:variant>
        <vt:lpwstr/>
      </vt:variant>
      <vt:variant>
        <vt:i4>1376375</vt:i4>
      </vt:variant>
      <vt:variant>
        <vt:i4>0</vt:i4>
      </vt:variant>
      <vt:variant>
        <vt:i4>0</vt:i4>
      </vt:variant>
      <vt:variant>
        <vt:i4>5</vt:i4>
      </vt:variant>
      <vt:variant>
        <vt:lpwstr>http://www.spiral2pp.eu</vt:lpwstr>
      </vt:variant>
      <vt:variant>
        <vt:lpwstr/>
      </vt:variant>
      <vt:variant>
        <vt:i4>5570636</vt:i4>
      </vt:variant>
      <vt:variant>
        <vt:i4>19760</vt:i4>
      </vt:variant>
      <vt:variant>
        <vt:i4>1025</vt:i4>
      </vt:variant>
      <vt:variant>
        <vt:i4>1</vt:i4>
      </vt:variant>
      <vt:variant>
        <vt:lpwstr>Logo_Spiral2_500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relevé de décision</dc:title>
  <dc:creator>sauve</dc:creator>
  <cp:lastModifiedBy>Utermann, Sonia Dr.</cp:lastModifiedBy>
  <cp:revision>2</cp:revision>
  <cp:lastPrinted>2008-03-05T09:06:00Z</cp:lastPrinted>
  <dcterms:created xsi:type="dcterms:W3CDTF">2018-12-19T09:46:00Z</dcterms:created>
  <dcterms:modified xsi:type="dcterms:W3CDTF">2018-12-19T09:46:00Z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éférence">
    <vt:lpwstr>Référence</vt:lpwstr>
  </property>
</Properties>
</file>